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B1B3" w14:textId="77777777" w:rsidR="00FF003A" w:rsidRDefault="00FF003A" w:rsidP="00FF003A">
      <w:pPr>
        <w:pStyle w:val="NoSpacing"/>
        <w:jc w:val="both"/>
        <w:rPr>
          <w:b/>
          <w:bCs/>
          <w:lang w:val="sr-Latn-RS"/>
        </w:rPr>
      </w:pPr>
      <w:r w:rsidRPr="00FF003A">
        <w:rPr>
          <w:b/>
          <w:bCs/>
          <w:lang w:val="sr-Cyrl-RS"/>
        </w:rPr>
        <w:t>ТЕХНИЧКИ ОПИС</w:t>
      </w:r>
    </w:p>
    <w:p w14:paraId="703F5FAB" w14:textId="4689DC83" w:rsidR="00841EE6" w:rsidRPr="00841EE6" w:rsidRDefault="00841EE6" w:rsidP="00FF003A">
      <w:pPr>
        <w:pStyle w:val="NoSpacing"/>
        <w:jc w:val="both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Главашев парк кпбр 3216 КО Паланка 1, Трг Хероја </w:t>
      </w:r>
    </w:p>
    <w:p w14:paraId="24CA1103" w14:textId="77777777" w:rsidR="00FF003A" w:rsidRDefault="00FF003A" w:rsidP="00FF003A">
      <w:pPr>
        <w:pStyle w:val="NoSpacing"/>
        <w:jc w:val="both"/>
        <w:rPr>
          <w:lang w:val="sr-Cyrl-RS"/>
        </w:rPr>
      </w:pPr>
    </w:p>
    <w:p w14:paraId="3F88BC63" w14:textId="5752F692" w:rsidR="00FF003A" w:rsidRPr="00FF003A" w:rsidRDefault="00FF003A" w:rsidP="00FF003A">
      <w:pPr>
        <w:pStyle w:val="NoSpacing"/>
        <w:jc w:val="both"/>
        <w:rPr>
          <w:b/>
          <w:bCs/>
        </w:rPr>
      </w:pPr>
      <w:proofErr w:type="spellStart"/>
      <w:r w:rsidRPr="00FF003A">
        <w:rPr>
          <w:b/>
          <w:bCs/>
        </w:rPr>
        <w:t>Пројектно</w:t>
      </w:r>
      <w:proofErr w:type="spellEnd"/>
      <w:r w:rsidRPr="00FF003A">
        <w:rPr>
          <w:b/>
          <w:bCs/>
        </w:rPr>
        <w:t xml:space="preserve"> </w:t>
      </w:r>
      <w:proofErr w:type="spellStart"/>
      <w:r w:rsidRPr="00FF003A">
        <w:rPr>
          <w:b/>
          <w:bCs/>
        </w:rPr>
        <w:t>решење</w:t>
      </w:r>
      <w:proofErr w:type="spellEnd"/>
    </w:p>
    <w:p w14:paraId="79F122D2" w14:textId="77777777" w:rsidR="00FF003A" w:rsidRDefault="00FF003A" w:rsidP="00FF003A">
      <w:pPr>
        <w:pStyle w:val="NoSpacing"/>
        <w:jc w:val="both"/>
      </w:pPr>
    </w:p>
    <w:p w14:paraId="7BAFF030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Приликом пројектовања поштовани су следећи услови:</w:t>
      </w:r>
    </w:p>
    <w:p w14:paraId="279E538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- прилагођавање постојећем паду терена и новонасталим условима и</w:t>
      </w:r>
    </w:p>
    <w:p w14:paraId="7FF83AA2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- оријентација према слободним зеленим и саобраћајним површинама.</w:t>
      </w:r>
    </w:p>
    <w:p w14:paraId="70EE6710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Стазе и платои су пополочани бехатон плочама у тамносивој и светлосивој боји. Око</w:t>
      </w:r>
    </w:p>
    <w:p w14:paraId="04F4C7BA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платоа и стаза постављају се бетонски ивичњаци.</w:t>
      </w:r>
    </w:p>
    <w:p w14:paraId="3D9EE83D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У западном делу уз Главашеву улицу предвиђено је уређење паркинга, поплочавање</w:t>
      </w:r>
    </w:p>
    <w:p w14:paraId="14403272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растер елеметима бетон - трава у ширини од 5 m. Главашева улица није предмет пројекта.</w:t>
      </w:r>
    </w:p>
    <w:p w14:paraId="7DDC016C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Уз паркинг је пројектована пешачка стаза уз парк, у ширини од 1,5 m.</w:t>
      </w:r>
    </w:p>
    <w:p w14:paraId="7C2F8D68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У северном делу парка предвиђена је реконструкција коловоза и паркинга,</w:t>
      </w:r>
    </w:p>
    <w:p w14:paraId="4750D4A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поплочавањем бехатон плочама које су предвиђене за колски саобраћај.</w:t>
      </w:r>
    </w:p>
    <w:p w14:paraId="02FBE178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Ширина пешачких стаза у парку износи 2,5 m. Ширина главне алеје која представља и</w:t>
      </w:r>
    </w:p>
    <w:p w14:paraId="3176929A" w14:textId="14056C4C" w:rsidR="00B65F53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плато за сајам цвећа је 6,5 m.</w:t>
      </w:r>
    </w:p>
    <w:p w14:paraId="37D345D2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</w:p>
    <w:p w14:paraId="33DAFB2F" w14:textId="77777777" w:rsidR="00FF003A" w:rsidRPr="00D37595" w:rsidRDefault="00FF003A" w:rsidP="00FF003A">
      <w:pPr>
        <w:pStyle w:val="NoSpacing"/>
        <w:jc w:val="both"/>
        <w:rPr>
          <w:b/>
          <w:bCs/>
          <w:lang w:val="sr-Cyrl-RS"/>
        </w:rPr>
      </w:pPr>
      <w:r w:rsidRPr="00D37595">
        <w:rPr>
          <w:b/>
          <w:bCs/>
          <w:lang w:val="sr-Cyrl-RS"/>
        </w:rPr>
        <w:t>Технички опис хидротехничких инсталација</w:t>
      </w:r>
    </w:p>
    <w:p w14:paraId="56C16754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</w:p>
    <w:p w14:paraId="72E2FD22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Прojeктoвaнa инсталација у Смедеревској Паланци у пoстojeћeм пaрку, у ужeм цeнтру</w:t>
      </w:r>
    </w:p>
    <w:p w14:paraId="0915F100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нaсeљeнoг мeстa, улицa Главашева. Прикључaк нa вoдoвoдну мрeжу je прeдвиђeн у</w:t>
      </w:r>
    </w:p>
    <w:p w14:paraId="29CB32F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Главашевој улици нa новопројектовану линију цeвима ПEХД ДН110. Притисaк у грaдскoj</w:t>
      </w:r>
    </w:p>
    <w:p w14:paraId="736FF145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вoдoвoднoj мрeжи je oд 3-3,5 бaрa.</w:t>
      </w:r>
    </w:p>
    <w:p w14:paraId="2887CA58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Са уличне новопројектоване мреже ДН110 узета је веза ПЕ ДН110 која је доведена</w:t>
      </w:r>
    </w:p>
    <w:p w14:paraId="7C6A698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непосредно испред водомерног окна.</w:t>
      </w:r>
    </w:p>
    <w:p w14:paraId="196079C1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У водомерном окну се налази водомер ДН110 и ДН40 са неопходним фазонским комадима.</w:t>
      </w:r>
    </w:p>
    <w:p w14:paraId="252B9CAF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На том месту се грана водоводна мрежа и одваја се крак спољне хидрантске мреже у</w:t>
      </w:r>
    </w:p>
    <w:p w14:paraId="1526A890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оквиру парка на ком су постављена 3 надземна ПП хидранта, са којег се снадбева и јавна</w:t>
      </w:r>
    </w:p>
    <w:p w14:paraId="071D5EA1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чесма, крак ПЕ цевовода ДН40 за наводњавање зелених површина парка.</w:t>
      </w:r>
    </w:p>
    <w:p w14:paraId="0CC3F074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Хидротехничке инсталације у парку</w:t>
      </w:r>
    </w:p>
    <w:p w14:paraId="53EC3AD3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Прeдмeт oвoг дeлa прojeктa су пoстojeћe хидрoтeхничкe инстaлaциje лoцирaнe у</w:t>
      </w:r>
    </w:p>
    <w:p w14:paraId="2899A2B2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пoстojeћeм пaрку, у ужeм цeнтру нaсeљeнoг мeстa Смедеревске Паланке.</w:t>
      </w:r>
    </w:p>
    <w:p w14:paraId="29034BAD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Вoдoвoднa мрeжa</w:t>
      </w:r>
    </w:p>
    <w:p w14:paraId="7E7AEA7C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Нa прeдмeтнoj лoкaциjи вoдoвoднa мрeжa je смeштeнa у:</w:t>
      </w:r>
    </w:p>
    <w:p w14:paraId="4C82918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- Главашева улицa ПEХД цeв прeчникa ДН80.</w:t>
      </w:r>
    </w:p>
    <w:p w14:paraId="4816CDD3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Потребно је довести нову линију водоводне мреже цевима ПEХД ДН110.</w:t>
      </w:r>
    </w:p>
    <w:p w14:paraId="2DE2FE4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Прикључaк нa вoдoвoдну мрeжу je прeдвиђeн у Главашевој улици нa нову линију</w:t>
      </w:r>
    </w:p>
    <w:p w14:paraId="7842CA54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цeвoвoд ПEХД ДН110. Oд цeвoвoдa из Главашеве улицe предвиђен је цевовод који</w:t>
      </w:r>
    </w:p>
    <w:p w14:paraId="3558EA1C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формира прстен на којем су постављена 3 надземна пп хидранта и са којег се снабдева</w:t>
      </w:r>
    </w:p>
    <w:p w14:paraId="2F19F5BC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и јавна чесма. Са будућег цевовода ДН 110 одваја се цевовод дo тeхничкe прoстoри-</w:t>
      </w:r>
    </w:p>
    <w:p w14:paraId="11F504AB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je фoнтaнe и то ПEХД ДН40 ПН10 у свeму прeмa прилoжeнoj ситуaциjи. У</w:t>
      </w:r>
    </w:p>
    <w:p w14:paraId="7FC0BFA7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посебној вовомерној шахти прeдвиђeнo je пoстaвљaњe вoдoмeрa ДН40 сa пoтрeбним</w:t>
      </w:r>
    </w:p>
    <w:p w14:paraId="208557F7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зaтвaрaчимa. У техничкој просторији сa oвoг цeвoвoдa oдвaja с e цeвoвoд ДН 40 зa</w:t>
      </w:r>
    </w:p>
    <w:p w14:paraId="368C6098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нaвoдњaвaњe зeлeних пoвршинa пaркa. Притисaк у грaдскoj вoдoвoднoj мрeжи je oд</w:t>
      </w:r>
    </w:p>
    <w:p w14:paraId="42627418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3-3,5 бaрa.</w:t>
      </w:r>
    </w:p>
    <w:p w14:paraId="560CA47E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Нoвoпрojeктoвaни цeвoвoд прeдвидeти oд ПEХД цeви истoг прeчникa</w:t>
      </w:r>
    </w:p>
    <w:p w14:paraId="3E0F6591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- ДН110, нa истoj трaси и дубини. Прeдвидeти пoвeзивaњe свих пoстojeћих прикључaкa.</w:t>
      </w:r>
    </w:p>
    <w:p w14:paraId="6FB845D0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lastRenderedPageBreak/>
        <w:t>Aтмoсфeрскa кaнaлизaциoнa мрeжa</w:t>
      </w:r>
    </w:p>
    <w:p w14:paraId="0B5B2A1C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Нa прeдмeтнoj лoкaциjи aтмoсфeрскa кaнaлизaциoнa мрeжa je смeштeнa у :</w:t>
      </w:r>
    </w:p>
    <w:p w14:paraId="436B3D3A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- Нa јужној стрaни пaркa дo Главашеве улицe ПВЦ цeв</w:t>
      </w:r>
    </w:p>
    <w:p w14:paraId="0418B7BC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- Пoстojeћи цeвoвoди су у дoбрoм стaњу и нису прeдвиђeни зa зaмeну.</w:t>
      </w:r>
    </w:p>
    <w:p w14:paraId="434D5CB9" w14:textId="77777777" w:rsidR="00FF003A" w:rsidRPr="00D37595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>Изласком на терен и увидом у постојеће стање закључено је да се постојећа атмосферска</w:t>
      </w:r>
    </w:p>
    <w:p w14:paraId="09EAEC3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D37595">
        <w:rPr>
          <w:lang w:val="sr-Cyrl-RS"/>
        </w:rPr>
        <w:t xml:space="preserve">канализација на делу јавне површине, </w:t>
      </w:r>
      <w:r w:rsidRPr="007A05C2">
        <w:rPr>
          <w:lang w:val="sr-Cyrl-RS"/>
        </w:rPr>
        <w:t>тротоара и бетонског платоа изван коловоза, са</w:t>
      </w:r>
    </w:p>
    <w:p w14:paraId="1475C17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десне стране пута неће се реконструисати већ ће само бити извршена нивелација</w:t>
      </w:r>
    </w:p>
    <w:p w14:paraId="048CD6B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постојећих шахти према новопројектованом стању.</w:t>
      </w:r>
    </w:p>
    <w:p w14:paraId="3AF0E64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2A16F3F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Аутоматски заливни систем</w:t>
      </w:r>
    </w:p>
    <w:p w14:paraId="141DB5A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4D9931E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Заливни систем је пројектован као прстенасти са системом динамичких распрскивача</w:t>
      </w:r>
    </w:p>
    <w:p w14:paraId="091B499A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намењених за мале и средње површине са дизнама за потребе кратког и средњег домета.</w:t>
      </w:r>
    </w:p>
    <w:p w14:paraId="76E349A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Заливна мрежа се напаја из градског водовода. Пречник прикључка је од ПЕХД цеви</w:t>
      </w:r>
    </w:p>
    <w:p w14:paraId="088D41B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пречника ДН40 са радним притисцима у мрежи који се крећу од 3-3.5 бара. Приликом</w:t>
      </w:r>
    </w:p>
    <w:p w14:paraId="2E1DFBC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пројектовања заливног система и одабира појединих елемената, распрскивача и дизни,</w:t>
      </w:r>
    </w:p>
    <w:p w14:paraId="4F51621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водило се рачуна да се изврши такав одабир који ће се уклопити у наведене услове</w:t>
      </w:r>
    </w:p>
    <w:p w14:paraId="002C701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водоснабдевања.</w:t>
      </w:r>
    </w:p>
    <w:p w14:paraId="43D5A9A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 подземном, водонепропусном шахту, врши се контрола потрошње воде за потребе</w:t>
      </w:r>
    </w:p>
    <w:p w14:paraId="76DA507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заливања, преко водомера пречника ДН40.</w:t>
      </w:r>
    </w:p>
    <w:p w14:paraId="304D196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 техником шахту смештена је сва потребна опрема за заливни систем.</w:t>
      </w:r>
    </w:p>
    <w:p w14:paraId="18D4652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Заливна мрежа је пројектована као прстенаста због правилности, сигурности и</w:t>
      </w:r>
    </w:p>
    <w:p w14:paraId="27394FC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уједначености снабдевања. Пречник главног прстена заливног система планирано је да</w:t>
      </w:r>
    </w:p>
    <w:p w14:paraId="5CB556A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буде изведен од ПЕХД цеви пречника ДН40. На грани која напаја систем заливања</w:t>
      </w:r>
    </w:p>
    <w:p w14:paraId="33C9758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инсталиран је електромагнетни вентил, типа Hunter са 24V соленоидом и програматором</w:t>
      </w:r>
    </w:p>
    <w:p w14:paraId="52AF368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230V. Помоћу програматора типа Hunter X2 1401 могуће је испрограмирати режим</w:t>
      </w:r>
    </w:p>
    <w:p w14:paraId="26CBBB8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рада заливања, серије укључивања и искључивања појединих група.</w:t>
      </w:r>
    </w:p>
    <w:p w14:paraId="70E4EAE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Приликом позиционирања трасе, водило се рачуна о укрштању са постојећим</w:t>
      </w:r>
    </w:p>
    <w:p w14:paraId="19146BC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инсталацијама и корењем биљака. Прскалице су распоређене тако а се покрива цела</w:t>
      </w:r>
    </w:p>
    <w:p w14:paraId="573565A7" w14:textId="3F765155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површина зеленила равномерно, што је испуњено преклапањем млазова распрскивача.</w:t>
      </w:r>
    </w:p>
    <w:p w14:paraId="5CDA967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3FE4461A" w14:textId="24B59AB5" w:rsidR="00FF003A" w:rsidRPr="007A05C2" w:rsidRDefault="00FF003A" w:rsidP="00FF003A">
      <w:pPr>
        <w:pStyle w:val="NoSpacing"/>
        <w:jc w:val="both"/>
        <w:rPr>
          <w:b/>
          <w:bCs/>
          <w:lang w:val="sr-Cyrl-RS"/>
        </w:rPr>
      </w:pPr>
      <w:r w:rsidRPr="007A05C2">
        <w:rPr>
          <w:b/>
          <w:bCs/>
          <w:lang w:val="sr-Cyrl-RS"/>
        </w:rPr>
        <w:t>Пројекат електроенергетских инсталација</w:t>
      </w:r>
    </w:p>
    <w:p w14:paraId="2190A6D1" w14:textId="77777777" w:rsidR="00FF003A" w:rsidRPr="007A05C2" w:rsidRDefault="00FF003A" w:rsidP="00FF003A">
      <w:pPr>
        <w:pStyle w:val="NoSpacing"/>
        <w:jc w:val="both"/>
        <w:rPr>
          <w:b/>
          <w:bCs/>
          <w:lang w:val="sr-Cyrl-RS"/>
        </w:rPr>
      </w:pPr>
    </w:p>
    <w:p w14:paraId="55BD637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Разводни ормани</w:t>
      </w:r>
    </w:p>
    <w:p w14:paraId="5D9CAE6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Од ормана мерног места до главног разводног ормана положити подземни кабл ПП00-А</w:t>
      </w:r>
    </w:p>
    <w:p w14:paraId="5EDC9DA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4x16 мм2 у ископан ров. При преласку улице кабал положити кроз електроенергетску</w:t>
      </w:r>
    </w:p>
    <w:p w14:paraId="50982A5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ПВЦ цев црвене боје фи 110мм на дубини 1метар. Трасу кабла обележити гал</w:t>
      </w:r>
    </w:p>
    <w:p w14:paraId="789E1BC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штитницима и позор траком. Сви потрошачи унутар предметног комплекса напајају се</w:t>
      </w:r>
    </w:p>
    <w:p w14:paraId="649DAED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из новог разводног ормана ГРО. Орман је од изолационог материјала у заштити ИП65 са</w:t>
      </w:r>
    </w:p>
    <w:p w14:paraId="104A2609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опремом према једнополној шеми. Орман се поставља на зиду техничке просторије као</w:t>
      </w:r>
    </w:p>
    <w:p w14:paraId="07A1E14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надградни. Увод каблова у орман је помоћу PG уводница у заштити ИП 65. Из ормана се</w:t>
      </w:r>
    </w:p>
    <w:p w14:paraId="684BB7C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напајају и ормани јавног осветљења РО-ЈО и орман за управљање и рад РГБ расвете</w:t>
      </w:r>
    </w:p>
    <w:p w14:paraId="3BD74C5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помоћу ПЛЦ уређаја.</w:t>
      </w:r>
    </w:p>
    <w:p w14:paraId="1D7346FA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4D97FAF9" w14:textId="4305DBEA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Јавно осветљење</w:t>
      </w:r>
    </w:p>
    <w:p w14:paraId="6DFB5E2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5A83EEB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Предметна површина сврстана је у светлотехничку класу П3, за коју је захтевана средња</w:t>
      </w:r>
    </w:p>
    <w:p w14:paraId="126A78B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хоризонтална вредност осветљености је Еsr= 10 Lx, односно минимална хоризонтална</w:t>
      </w:r>
    </w:p>
    <w:p w14:paraId="19A4E25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lastRenderedPageBreak/>
        <w:t>вредност осветљености је Еmin = 3 Lx</w:t>
      </w:r>
    </w:p>
    <w:p w14:paraId="658BD46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Основна расвета</w:t>
      </w:r>
    </w:p>
    <w:p w14:paraId="405F96F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Основна расвета или расвета јавног осветљења парка се изводи се са 46 уличних ЛЕД</w:t>
      </w:r>
    </w:p>
    <w:p w14:paraId="2E2F094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светиљки постављеним на сегментне стубове висине 4 метра обојене у одговарајућој</w:t>
      </w:r>
    </w:p>
    <w:p w14:paraId="5D848FB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боји.</w:t>
      </w:r>
    </w:p>
    <w:p w14:paraId="226907B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418A108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Светиљке и стубови</w:t>
      </w:r>
    </w:p>
    <w:p w14:paraId="68AA16D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Пројектом је предвиђен један тип стуба са светиљком и то:</w:t>
      </w:r>
    </w:p>
    <w:p w14:paraId="603A13B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Стуб и светиљка тип 1 сл. типу ЛЕД улична светиљка RoadLight Stratus RE488-80W-740,</w:t>
      </w:r>
    </w:p>
    <w:p w14:paraId="2F13FBE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произвођача OPPLE/LEgroup, намењена је за осветљење саобраћајница, паркинг</w:t>
      </w:r>
    </w:p>
    <w:p w14:paraId="2CB36FE9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простора, индустријских зона и јавних површина, са нагласком на енергетску</w:t>
      </w:r>
    </w:p>
    <w:p w14:paraId="7AD910D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ефикасност, поузданост и дуг век трајања. Светиљка користи ЛЕД извор укупне снаге 80</w:t>
      </w:r>
    </w:p>
    <w:p w14:paraId="7466ED3A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W, при чему емитује светлосни флукс од приближно 12.000 lm, што обезбеђује високу</w:t>
      </w:r>
    </w:p>
    <w:p w14:paraId="2BA7B90A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ефикасност од око 150 lm/W. Боја светла је 4000 К (неутрално бела), уз индекс</w:t>
      </w:r>
    </w:p>
    <w:p w14:paraId="5C728EE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репродукције боје CRI &gt; 70 Ра, који омогућава природан приказ боја и добру видљивост</w:t>
      </w:r>
    </w:p>
    <w:p w14:paraId="31E1C8D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 ноћним условима. Кућиште светиљке израђено је од ливеног алуминијума са</w:t>
      </w:r>
    </w:p>
    <w:p w14:paraId="3DE33A39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квалитетном прашкасто сиво обрадом (РАЛ 870-3), отпорном на корозију и УВ зрачење.</w:t>
      </w:r>
    </w:p>
    <w:p w14:paraId="513D6D2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Заштитно стакло је каљено и УВ стабилизовано, обезбеђујући висок степен поузданости</w:t>
      </w:r>
    </w:p>
    <w:p w14:paraId="3C925AB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 спољашњим условима. Светиљка има степен заштите IP66, што значи потпуну</w:t>
      </w:r>
    </w:p>
    <w:p w14:paraId="55AE487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отпорност на прашину и снажне млазове воде, као и механичку отпорност ИК08.</w:t>
      </w:r>
    </w:p>
    <w:p w14:paraId="1A1EC2F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Светиљка је тестирана на отпорност ужареног проводника (glow-wire тест) до 850 °C,</w:t>
      </w:r>
    </w:p>
    <w:p w14:paraId="292B41D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што додатно потврђује њену сигурност.</w:t>
      </w:r>
    </w:p>
    <w:p w14:paraId="7B8AD94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Оптички систем пружа прецизну дистрибуцију светла са углом снопа 143° × 70°, чиме се</w:t>
      </w:r>
    </w:p>
    <w:p w14:paraId="18BF889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постиже оптимална покривеност и минимално расипање светлости ван циљне површине.</w:t>
      </w:r>
    </w:p>
    <w:p w14:paraId="06E8AB8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Светиљка се може монтирати бочно (сиде ентрy) или на врх стуба (поле-топ), помоћу</w:t>
      </w:r>
    </w:p>
    <w:p w14:paraId="27083DB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универзалног адаптера који омогућава инсталацију на стубове пречника Ø 60–76 мм, уз</w:t>
      </w:r>
    </w:p>
    <w:p w14:paraId="02357F9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могућност подешавања угла нагиба.</w:t>
      </w:r>
    </w:p>
    <w:p w14:paraId="596D587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Предвиђена је за рад у температурном опсегу од –25 °C до +45 °C, са животним веком</w:t>
      </w:r>
    </w:p>
    <w:p w14:paraId="52E8A4E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&gt;L70 ≥ 100.000 сати и више од 100.000 циклуса укључивања/искључивања, што значајно</w:t>
      </w:r>
    </w:p>
    <w:p w14:paraId="420C100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смањује трошкове одржавања. Напајање (драјвер) је електронско, високог фактора снаге</w:t>
      </w:r>
    </w:p>
    <w:p w14:paraId="63D0E1D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(PФ ≥ 0,9) и ниских губитака, са заштитом од пренапона и термичког оптерећења.</w:t>
      </w:r>
    </w:p>
    <w:p w14:paraId="5F75FA5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Светиљка RoadLight Stratus RE488-80W-740 произвођача OPPLE/LEgroup пројектована</w:t>
      </w:r>
    </w:p>
    <w:p w14:paraId="4C1266C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је у складу са важећим европским стандардима и директивама, поседује CЕ ознаку и</w:t>
      </w:r>
    </w:p>
    <w:p w14:paraId="78FE95F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намењена је захтевним спољним инсталацијама где су потребни дуг век, поуздан рад и</w:t>
      </w:r>
    </w:p>
    <w:p w14:paraId="59CC409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висок квалитет осветљења.</w:t>
      </w:r>
    </w:p>
    <w:p w14:paraId="0BD666C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Темељи за стубове</w:t>
      </w:r>
    </w:p>
    <w:p w14:paraId="3B31A12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Расветни стуб поставља се на бетонски темељ димензија према статичком прорачуну или</w:t>
      </w:r>
    </w:p>
    <w:p w14:paraId="7A01471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препоруци произвођача (0,6х0,6х0,6m). Пре бетонирања темеља поставити приводне</w:t>
      </w:r>
    </w:p>
    <w:p w14:paraId="1E110DF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пластичне цеви ("К" рачва + 2x50цм цеви), анкер вијке који се испоручују заједно са</w:t>
      </w:r>
    </w:p>
    <w:p w14:paraId="0F521AB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стубовима.</w:t>
      </w:r>
    </w:p>
    <w:p w14:paraId="5BD8CC9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Каблови</w:t>
      </w:r>
    </w:p>
    <w:p w14:paraId="272D36A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Напајање стубова јавне расвете је трофазно подземним каблом типа ПП00-А 4х16 мм2,</w:t>
      </w:r>
    </w:p>
    <w:p w14:paraId="0C95E22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каблови се полажу слободно у зеленим површинама у кабловски ров минималне дубине</w:t>
      </w:r>
    </w:p>
    <w:p w14:paraId="6D1100C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0.8м.</w:t>
      </w:r>
    </w:p>
    <w:p w14:paraId="4058992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Испод пешачких стаза, бициклистичких стаза, паркинга и колских прилаза подземни</w:t>
      </w:r>
    </w:p>
    <w:p w14:paraId="21F76D1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каблови се полажу у пластичне заштитне цеви фи 110 мм које се постављају у ров на</w:t>
      </w:r>
    </w:p>
    <w:p w14:paraId="2C21E17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дубини 1,0м.</w:t>
      </w:r>
    </w:p>
    <w:p w14:paraId="2AD3ED6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Испод саобраћајница подземни каблови се полажу у пластичне заштитне цеви које се</w:t>
      </w:r>
    </w:p>
    <w:p w14:paraId="1F4720F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lastRenderedPageBreak/>
        <w:t>постављају у ров на дубини 1,4м. Све наведене пластичне ЕЕ заштитне цеви црвене боје</w:t>
      </w:r>
    </w:p>
    <w:p w14:paraId="06C9A04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се постављају у току израде саобраћајнице.На дно рова полаже се гвоздена поцинкована</w:t>
      </w:r>
    </w:p>
    <w:p w14:paraId="001725E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траку ФеЗн 25x4мм, а затим се канал затрпава прво песком 0,1m затим слојем уситњене</w:t>
      </w:r>
    </w:p>
    <w:p w14:paraId="1316D64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земље од 0,2m и остатак рова материјалом из ископа.</w:t>
      </w:r>
    </w:p>
    <w:p w14:paraId="6E27522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Паралелно вођење и укрштање подземног кабла јавног осветљења са осталим подземним</w:t>
      </w:r>
    </w:p>
    <w:p w14:paraId="7588CE4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инсталацијама изводи се према техничким препорукама ЕПС.</w:t>
      </w:r>
    </w:p>
    <w:p w14:paraId="1C5D5AB9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Управљање ноћном - јавном расветом дан - ноћ врши се путем дигиталног уклопника</w:t>
      </w:r>
    </w:p>
    <w:p w14:paraId="446E2D3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ДБВ 2006 са астрономским часовником за вођење расвете и могућношћу целоноћног или</w:t>
      </w:r>
    </w:p>
    <w:p w14:paraId="036297CC" w14:textId="51C99828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полуноћног режима рада смештеног у ГРО орману.</w:t>
      </w:r>
    </w:p>
    <w:p w14:paraId="2EB6C82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6C43B9E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7ED064D3" w14:textId="77777777" w:rsidR="00FF003A" w:rsidRPr="007A05C2" w:rsidRDefault="00FF003A" w:rsidP="00FF003A">
      <w:pPr>
        <w:pStyle w:val="NoSpacing"/>
        <w:jc w:val="both"/>
        <w:rPr>
          <w:b/>
          <w:bCs/>
          <w:lang w:val="sr-Cyrl-RS"/>
        </w:rPr>
      </w:pPr>
      <w:r w:rsidRPr="007A05C2">
        <w:rPr>
          <w:b/>
          <w:bCs/>
          <w:lang w:val="sr-Cyrl-RS"/>
        </w:rPr>
        <w:t>Пројекат спољног уређења – пејзажне архитектуре</w:t>
      </w:r>
    </w:p>
    <w:p w14:paraId="4D7C758A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1BB8EB5D" w14:textId="4B927AC3" w:rsidR="00FF003A" w:rsidRPr="007A05C2" w:rsidRDefault="00FF003A" w:rsidP="00FF003A">
      <w:pPr>
        <w:pStyle w:val="NoSpacing"/>
        <w:jc w:val="both"/>
        <w:rPr>
          <w:b/>
          <w:bCs/>
          <w:lang w:val="sr-Cyrl-RS"/>
        </w:rPr>
      </w:pPr>
      <w:r w:rsidRPr="007A05C2">
        <w:rPr>
          <w:b/>
          <w:bCs/>
          <w:lang w:val="sr-Cyrl-RS"/>
        </w:rPr>
        <w:t>Постојеће стање</w:t>
      </w:r>
    </w:p>
    <w:p w14:paraId="728920E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202A1A3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Градски парк формиран је 70-их година прошлог века, са фонтаном, пешачким стазама,</w:t>
      </w:r>
    </w:p>
    <w:p w14:paraId="0A3D6CA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местима за одмор и зеленим површинама. Парк је временом запуштен – стазе и</w:t>
      </w:r>
    </w:p>
    <w:p w14:paraId="717D277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мобилијар су у лошем стању, фонтана није у функцији, травњак је неугледан, одређено</w:t>
      </w:r>
    </w:p>
    <w:p w14:paraId="6960DFC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дрвеће представља претњу да се сруши. Пројектом се предвиђа његова реконстукција и</w:t>
      </w:r>
    </w:p>
    <w:p w14:paraId="4476527A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модернизација, у складу са садашњим временом и потребама савременог човека.</w:t>
      </w:r>
    </w:p>
    <w:p w14:paraId="0A46E319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Пројектовано решење</w:t>
      </w:r>
    </w:p>
    <w:p w14:paraId="5C82E23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Уређење читавог комплекса конципирано је на функционалном коришћењу простора и</w:t>
      </w:r>
    </w:p>
    <w:p w14:paraId="242D314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специфичности корисника. У оквиру комплекса дефинише се неколико целина:</w:t>
      </w:r>
    </w:p>
    <w:p w14:paraId="74C8F7D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део парка предвиђен за активан боравак у парку (дечије игралиште, теретана на</w:t>
      </w:r>
    </w:p>
    <w:p w14:paraId="5CD9CF8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отвореном, столови за шах и друштвене игре)</w:t>
      </w:r>
    </w:p>
    <w:p w14:paraId="2AFB136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плато са урбаним репером - информационом пирамидом са местима за одмор</w:t>
      </w:r>
    </w:p>
    <w:p w14:paraId="7D25554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теретана на отвореном са 4 различите справе и интерактивном игром за све узрасте</w:t>
      </w:r>
    </w:p>
    <w:p w14:paraId="1C464BD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плато са спомеником и жардињерама са местима за седење</w:t>
      </w:r>
    </w:p>
    <w:p w14:paraId="4FD8E52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плато/алеја за манифестацију сајма цвећа са јавном чесмом</w:t>
      </w:r>
    </w:p>
    <w:p w14:paraId="4EDBE5C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мултифункционални плато за приредбе на отвореном, концерте музучке школе,</w:t>
      </w:r>
    </w:p>
    <w:p w14:paraId="650AF09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музејске поставке на отвореном и др.</w:t>
      </w:r>
    </w:p>
    <w:p w14:paraId="6FBD916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меморијални плато, у оквиру ког ће бити задржан постојећи споменик и груписан</w:t>
      </w:r>
    </w:p>
    <w:p w14:paraId="567FD22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постојећи лапидаријум</w:t>
      </w:r>
    </w:p>
    <w:p w14:paraId="00AD921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пешачке и колске стазе и паркинг на северном и западном делу парка</w:t>
      </w:r>
    </w:p>
    <w:p w14:paraId="1DC9214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зелене површине под травом са садницима дрвећа различитих врста</w:t>
      </w:r>
    </w:p>
    <w:p w14:paraId="480E030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Мобилијар у оквиру комплекса представља целине за различите узрасте корисника и то:</w:t>
      </w:r>
    </w:p>
    <w:p w14:paraId="5C97C46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Сетови за шах (сто и клупе) за најстарије грађане</w:t>
      </w:r>
    </w:p>
    <w:p w14:paraId="455782A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Дуж пешачких стаза предвиђене су и клупе за одмор са и без наслона, корпе</w:t>
      </w:r>
    </w:p>
    <w:p w14:paraId="493D3B6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за отпатке, чесма и сталак за бицикле.</w:t>
      </w:r>
    </w:p>
    <w:p w14:paraId="4D1DCC3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Код северо-источног и југоисточног улаза у парк предвиђена је соларна</w:t>
      </w:r>
    </w:p>
    <w:p w14:paraId="0B30515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клупа са фотонапонским панелима за напајање и интегрисаним СО2 калкулатором.</w:t>
      </w:r>
    </w:p>
    <w:p w14:paraId="57AD5E0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У централном делу парка предвиђен је споменик палим борцима -</w:t>
      </w:r>
    </w:p>
    <w:p w14:paraId="30FC3FA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Паланчанима палим за слободу у време Балканских, Првог и Другог светског</w:t>
      </w:r>
    </w:p>
    <w:p w14:paraId="5823BE9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рата (није предмет пројетка)</w:t>
      </w:r>
    </w:p>
    <w:p w14:paraId="6E53928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Око споменика пројектоване су бетонске жардињере без дна h=40 cm, ширине</w:t>
      </w:r>
    </w:p>
    <w:p w14:paraId="17291F8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зидића 45 cm. На жардињерама је предвиђен и део за седење од дрвених</w:t>
      </w:r>
    </w:p>
    <w:p w14:paraId="1FAC749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летвица од термотретираног јасена.</w:t>
      </w:r>
    </w:p>
    <w:p w14:paraId="36025F5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- Предвиђена је замена комплетне расвете, укидање расвете која је у постојећем</w:t>
      </w:r>
    </w:p>
    <w:p w14:paraId="141037D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lastRenderedPageBreak/>
        <w:t>стању средином стаза и постављање нове на ободе ових стаза.</w:t>
      </w:r>
    </w:p>
    <w:p w14:paraId="4D3B058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Материјализација и конструкција</w:t>
      </w:r>
    </w:p>
    <w:p w14:paraId="7F81CCD9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6C4FDE6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Стазе и платои су пополочани бехатон плочама у тамносивој и светлосивој боји. Око платоа</w:t>
      </w:r>
    </w:p>
    <w:p w14:paraId="4F136DB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 стаза постављају се бетонски ивичњаци. У западном делу уз Главашеву улицу предвиђена</w:t>
      </w:r>
    </w:p>
    <w:p w14:paraId="3764886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је реконструцкија паркинга, поплочавање растер елеметима бетон - трава у ширини од 5</w:t>
      </w:r>
    </w:p>
    <w:p w14:paraId="26D1B47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m. Главашева улица није предмет пројекта. Уз паркинг је пројектована пешачка стаза уз</w:t>
      </w:r>
    </w:p>
    <w:p w14:paraId="56059D1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парк, у ширини од 1,5 m. Између пешачке стазе и парка сади се жива</w:t>
      </w:r>
    </w:p>
    <w:p w14:paraId="30683CF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ограда као визуелна и заштитна баријера. Ширина простора за сању живе ограде је 80 cm</w:t>
      </w:r>
    </w:p>
    <w:p w14:paraId="29F8BA9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 као завршна покривка предвиђен је малч у дебљини од 10 cm. У северном делу парка</w:t>
      </w:r>
    </w:p>
    <w:p w14:paraId="461BC07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предвиђена је реконструкција коловоза и паркинга, поплочавањем бехатон плочама које</w:t>
      </w:r>
    </w:p>
    <w:p w14:paraId="31B2C41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су предвиђене за колски саобраћај. Ширина пешачких стаза у парку износи 2,5 m.</w:t>
      </w:r>
    </w:p>
    <w:p w14:paraId="32193E5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Ширина главне алеје која представља и плато за сајам цвећа је 6,5 m. Плато са урбаним</w:t>
      </w:r>
    </w:p>
    <w:p w14:paraId="0D79218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репером је кружног облика, пречника 14 m. Пречник платоа са спомеником је 20 m, са</w:t>
      </w:r>
    </w:p>
    <w:p w14:paraId="7B07883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бетонским жардињерама висине 40 сm. Пречник мултифункционалног платоа износи</w:t>
      </w:r>
    </w:p>
    <w:p w14:paraId="6B026A58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16 m, док је пречник платоа са спомеником и централном жардињером 10 m.</w:t>
      </w:r>
    </w:p>
    <w:p w14:paraId="56B6983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Површина за теретану на отвореном под застором од плоча од млевене гуме је 110</w:t>
      </w:r>
    </w:p>
    <w:p w14:paraId="35FB807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метара квадратних.</w:t>
      </w:r>
    </w:p>
    <w:p w14:paraId="60AF89E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0C7CAF20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Озелењавање</w:t>
      </w:r>
    </w:p>
    <w:p w14:paraId="20FDB5B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</w:p>
    <w:p w14:paraId="26571A32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Уређење и озелењавање целине треба да унапреди и оплемени целoкупни амбијент.</w:t>
      </w:r>
    </w:p>
    <w:p w14:paraId="7694B32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Обзиром да се ради о објекту специфичне намене код самог озелењавања вођено је</w:t>
      </w:r>
    </w:p>
    <w:p w14:paraId="41A9A17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рачуна пре свега о функционалности, санитарно - хигијенским и декоративно - естетским</w:t>
      </w:r>
    </w:p>
    <w:p w14:paraId="23A4BC15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условима. Општи услови озелењавања подразумевају да је избор врста прилагођен</w:t>
      </w:r>
    </w:p>
    <w:p w14:paraId="01D047A7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микроклиматским карактеристикама локације, што пре свега подразумева коришћење</w:t>
      </w:r>
    </w:p>
    <w:p w14:paraId="2E5972D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аутохтоних врста. За озелењавање су предвиђене врсте са дужим вегетационим периодом</w:t>
      </w:r>
    </w:p>
    <w:p w14:paraId="38984DA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и брзорастуће. Такође, приликом избора врста коришћене су врсте адекватне намени</w:t>
      </w:r>
    </w:p>
    <w:p w14:paraId="45E8919B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објекта, као и оне необичних форми, облика листова, плодова или цветова. Приликом</w:t>
      </w:r>
    </w:p>
    <w:p w14:paraId="0626C42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одабира врста посебна пажња је усмерена на одабир врста које нису отровне због</w:t>
      </w:r>
    </w:p>
    <w:p w14:paraId="183F9B4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присуства деце.</w:t>
      </w:r>
    </w:p>
    <w:p w14:paraId="5B35CD56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Пројектним решењем је предвиђена садња нових 99 стабала аутохтоних сорти. При</w:t>
      </w:r>
    </w:p>
    <w:p w14:paraId="3A133974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пројектовању поред бројчаног односа који је 1:3, односно за свако посечено стабло</w:t>
      </w:r>
    </w:p>
    <w:p w14:paraId="0E8FEF7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пројектом је предвиђена садња 3 нова, примењен је еколошки приступ побољшања</w:t>
      </w:r>
    </w:p>
    <w:p w14:paraId="42E3217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биодиверзитета.</w:t>
      </w:r>
    </w:p>
    <w:p w14:paraId="1E86CB2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Врсте планиране за озелењавање су: високо лишћарско дрвеће (црвени храст, дивљи</w:t>
      </w:r>
    </w:p>
    <w:p w14:paraId="342BC473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кестен, ликвидамбар, липа), високо четинарско дрвеће (кедар, плава смрча, црни бор,</w:t>
      </w:r>
    </w:p>
    <w:p w14:paraId="0E1C353D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хималајски бор), калемљени лишћари (бела бреза, гинко, јапанска трешња, јудино дрво,</w:t>
      </w:r>
    </w:p>
    <w:p w14:paraId="6B33273F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албиција, магнолија). У жардињерама су предвиђене перене и зимзелено шибље</w:t>
      </w:r>
    </w:p>
    <w:p w14:paraId="24757DA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(лаванда, лоницера, пенисетум, тује). Дуж западне границе парка, према Главашевој</w:t>
      </w:r>
    </w:p>
    <w:p w14:paraId="4A62E49C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улици, жива ограда је од ловор вишње пројектоване висине до 1,2 m. Све озелењене</w:t>
      </w:r>
    </w:p>
    <w:p w14:paraId="4EE90631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површине затрављују се квалитетним ојачаним травњацима формираним сетвом семена</w:t>
      </w:r>
    </w:p>
    <w:p w14:paraId="5C9F779E" w14:textId="77777777" w:rsidR="00FF003A" w:rsidRPr="007A05C2" w:rsidRDefault="00FF003A" w:rsidP="00FF003A">
      <w:pPr>
        <w:pStyle w:val="NoSpacing"/>
        <w:jc w:val="both"/>
        <w:rPr>
          <w:lang w:val="sr-Cyrl-RS"/>
        </w:rPr>
      </w:pPr>
      <w:r w:rsidRPr="007A05C2">
        <w:rPr>
          <w:lang w:val="sr-Cyrl-RS"/>
        </w:rPr>
        <w:t>аутохтоних врста.</w:t>
      </w:r>
    </w:p>
    <w:p w14:paraId="6CBCBEDD" w14:textId="77777777" w:rsidR="00FF003A" w:rsidRPr="00FF003A" w:rsidRDefault="00FF003A" w:rsidP="00FF003A">
      <w:pPr>
        <w:pStyle w:val="NoSpacing"/>
        <w:jc w:val="both"/>
        <w:rPr>
          <w:lang w:val="sr-Cyrl-RS"/>
        </w:rPr>
      </w:pPr>
      <w:r w:rsidRPr="00FF003A">
        <w:rPr>
          <w:lang w:val="sr-Cyrl-RS"/>
        </w:rPr>
        <w:t>Предвиђена је поставка аутоматског система за наводњавање и заливање зеленила,</w:t>
      </w:r>
    </w:p>
    <w:p w14:paraId="41D634C5" w14:textId="1FF315A7" w:rsidR="00FF003A" w:rsidRDefault="00FF003A" w:rsidP="00FF003A">
      <w:pPr>
        <w:pStyle w:val="NoSpacing"/>
        <w:jc w:val="both"/>
        <w:rPr>
          <w:lang w:val="sr-Cyrl-RS"/>
        </w:rPr>
      </w:pPr>
      <w:r w:rsidRPr="00FF003A">
        <w:rPr>
          <w:lang w:val="sr-Cyrl-RS"/>
        </w:rPr>
        <w:t>као и софтвера за управљање зеленим површинама.</w:t>
      </w:r>
    </w:p>
    <w:p w14:paraId="63DDD95F" w14:textId="77777777" w:rsidR="00A04248" w:rsidRDefault="00A04248" w:rsidP="00FF003A">
      <w:pPr>
        <w:pStyle w:val="NoSpacing"/>
        <w:jc w:val="both"/>
        <w:rPr>
          <w:lang w:val="sr-Cyrl-RS"/>
        </w:rPr>
      </w:pPr>
    </w:p>
    <w:p w14:paraId="4D55EDA2" w14:textId="77777777" w:rsidR="00A04248" w:rsidRPr="00134C58" w:rsidRDefault="00A04248" w:rsidP="00A04248">
      <w:pPr>
        <w:rPr>
          <w:color w:val="000000"/>
          <w:u w:val="single"/>
          <w:lang w:val="sr-Cyrl-RS"/>
        </w:rPr>
      </w:pPr>
      <w:r w:rsidRPr="00134C58">
        <w:rPr>
          <w:color w:val="000000"/>
          <w:u w:val="single"/>
          <w:lang w:val="sr-Cyrl-RS"/>
        </w:rPr>
        <w:t>Остале информације</w:t>
      </w:r>
    </w:p>
    <w:p w14:paraId="748A4E11" w14:textId="77777777" w:rsidR="00A04248" w:rsidRPr="00134C58" w:rsidRDefault="00A04248" w:rsidP="00A04248">
      <w:pPr>
        <w:rPr>
          <w:lang w:val="sr-Cyrl-RS"/>
        </w:rPr>
      </w:pPr>
    </w:p>
    <w:p w14:paraId="78E1E9CB" w14:textId="77777777" w:rsidR="00A04248" w:rsidRPr="00134C58" w:rsidRDefault="00A04248" w:rsidP="00A04248">
      <w:pPr>
        <w:rPr>
          <w:lang w:val="sr-Cyrl-RS"/>
        </w:rPr>
      </w:pPr>
      <w:r w:rsidRPr="00134C58">
        <w:rPr>
          <w:lang w:val="sr-Cyrl-RS"/>
        </w:rPr>
        <w:t>Следећа документа, којима се може приступити преко наведеног линка, чине саставни део техничких спецификација и уговора:</w:t>
      </w:r>
    </w:p>
    <w:p w14:paraId="73F09B06" w14:textId="40F4EDFE" w:rsidR="00A04248" w:rsidRPr="00134C58" w:rsidRDefault="00E90F93" w:rsidP="00A04248">
      <w:pPr>
        <w:rPr>
          <w:lang w:val="sr-Cyrl-RS"/>
        </w:rPr>
      </w:pPr>
      <w:r w:rsidRPr="00E90F93">
        <w:rPr>
          <w:lang w:val="sr-Cyrl-RS"/>
        </w:rPr>
        <w:t>https://www.smederevskapalanka.rs/%d0%bb%d0%b8%d0%b8%d0%b4/</w:t>
      </w:r>
    </w:p>
    <w:p w14:paraId="70782738" w14:textId="77777777" w:rsidR="00A04248" w:rsidRPr="00134C58" w:rsidRDefault="00A04248" w:rsidP="00A04248">
      <w:pPr>
        <w:rPr>
          <w:lang w:val="sr-Cyrl-RS"/>
        </w:rPr>
      </w:pPr>
      <w:r w:rsidRPr="00134C58">
        <w:rPr>
          <w:rFonts w:eastAsia="Times New Roman"/>
          <w:lang w:val="sr-Cyrl-RS"/>
        </w:rPr>
        <w:t xml:space="preserve">План укључивања заинтересованих страна </w:t>
      </w:r>
      <w:r w:rsidRPr="00134C58">
        <w:rPr>
          <w:lang w:val="sr-Cyrl-RS"/>
        </w:rPr>
        <w:t>(СЕП)</w:t>
      </w:r>
      <w:r w:rsidRPr="00134C58">
        <w:rPr>
          <w:rFonts w:eastAsia="Times New Roman"/>
          <w:lang w:val="sr-Cyrl-RS"/>
        </w:rPr>
        <w:t xml:space="preserve">, </w:t>
      </w:r>
    </w:p>
    <w:p w14:paraId="4C857ADE" w14:textId="77777777" w:rsidR="00A04248" w:rsidRPr="00960B2E" w:rsidRDefault="00A04248" w:rsidP="00A04248">
      <w:pPr>
        <w:rPr>
          <w:lang w:val="sr-Cyrl-RS"/>
        </w:rPr>
      </w:pPr>
      <w:r>
        <w:rPr>
          <w:rFonts w:eastAsia="Times New Roman"/>
          <w:lang w:val="sr-Latn-ME"/>
        </w:rPr>
        <w:t>-</w:t>
      </w:r>
      <w:r w:rsidRPr="00960B2E">
        <w:rPr>
          <w:rFonts w:eastAsia="Times New Roman"/>
          <w:lang w:val="sr-Cyrl-RS"/>
        </w:rPr>
        <w:t>Жалбени механизам и формулар</w:t>
      </w:r>
    </w:p>
    <w:p w14:paraId="37C7634D" w14:textId="77777777" w:rsidR="00A04248" w:rsidRDefault="00A04248" w:rsidP="00A04248">
      <w:hyperlink r:id="rId4" w:tooltip="ESMP LIID Medvedja Kontrolna Lista FINAL" w:history="1">
        <w:r w:rsidRPr="000251B5">
          <w:rPr>
            <w:lang w:val="sr-Cyrl-RS"/>
          </w:rPr>
          <w:t>Контролна листа плана управљања утицајима пројеката на еколошко и друштвено окружење</w:t>
        </w:r>
      </w:hyperlink>
    </w:p>
    <w:p w14:paraId="773953D7" w14:textId="77777777" w:rsidR="00A04248" w:rsidRDefault="00A04248" w:rsidP="00A04248">
      <w:pPr>
        <w:rPr>
          <w:lang w:val="sr-Cyrl-RS"/>
        </w:rPr>
      </w:pPr>
      <w:r>
        <w:t>-</w:t>
      </w:r>
      <w:r>
        <w:rPr>
          <w:lang w:val="sr-Cyrl-RS"/>
        </w:rPr>
        <w:t>Пројектно-техничка документација</w:t>
      </w:r>
    </w:p>
    <w:p w14:paraId="6D525B42" w14:textId="77777777" w:rsidR="00A04248" w:rsidRDefault="00A04248" w:rsidP="00A04248">
      <w:pPr>
        <w:rPr>
          <w:lang w:val="sr-Cyrl-RS"/>
        </w:rPr>
      </w:pPr>
    </w:p>
    <w:p w14:paraId="0B83F26F" w14:textId="506387FD" w:rsidR="00A04248" w:rsidRPr="00134C58" w:rsidRDefault="00A04248" w:rsidP="00A04248">
      <w:pPr>
        <w:rPr>
          <w:lang w:val="sr-Cyrl-RS"/>
        </w:rPr>
      </w:pPr>
      <w:r w:rsidRPr="00134C58">
        <w:rPr>
          <w:lang w:val="sr-Cyrl-RS"/>
        </w:rPr>
        <w:t xml:space="preserve">Све трошкове који произилазе из обавеза које су додељене извођачу у оквиру Контролне листе плана управљања утицајима пројекта на еколошко и друштвено окружење (ЕСМП Контролна листа) и Плана укључивања заинтересованих страна (СЕП), понуђач (извођач) треба да обрачуна и укључи у одговарајуће позиције </w:t>
      </w:r>
      <w:r w:rsidR="008C1B03">
        <w:rPr>
          <w:lang w:val="sr-Cyrl-RS"/>
        </w:rPr>
        <w:t>Обрасца с</w:t>
      </w:r>
      <w:r w:rsidRPr="00134C58">
        <w:rPr>
          <w:lang w:val="sr-Cyrl-RS"/>
        </w:rPr>
        <w:t>труктуре цене.</w:t>
      </w:r>
    </w:p>
    <w:p w14:paraId="5FF83EC0" w14:textId="77777777" w:rsidR="00A04248" w:rsidRPr="00134C58" w:rsidRDefault="00A04248" w:rsidP="00A04248">
      <w:pPr>
        <w:rPr>
          <w:color w:val="000000"/>
          <w:lang w:val="sr-Cyrl-RS"/>
        </w:rPr>
      </w:pPr>
    </w:p>
    <w:p w14:paraId="132966E7" w14:textId="77777777" w:rsidR="00A04248" w:rsidRPr="00FF003A" w:rsidRDefault="00A04248" w:rsidP="00FF003A">
      <w:pPr>
        <w:pStyle w:val="NoSpacing"/>
        <w:jc w:val="both"/>
        <w:rPr>
          <w:lang w:val="sr-Cyrl-RS"/>
        </w:rPr>
      </w:pPr>
    </w:p>
    <w:sectPr w:rsidR="00A04248" w:rsidRPr="00FF00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82"/>
    <w:rsid w:val="00011E65"/>
    <w:rsid w:val="00034397"/>
    <w:rsid w:val="00043B20"/>
    <w:rsid w:val="00043BFD"/>
    <w:rsid w:val="000502AA"/>
    <w:rsid w:val="00054AAC"/>
    <w:rsid w:val="00055EFE"/>
    <w:rsid w:val="000565B3"/>
    <w:rsid w:val="000700BF"/>
    <w:rsid w:val="00075423"/>
    <w:rsid w:val="00081379"/>
    <w:rsid w:val="00082205"/>
    <w:rsid w:val="00084982"/>
    <w:rsid w:val="000853B8"/>
    <w:rsid w:val="000859B8"/>
    <w:rsid w:val="000A1FC7"/>
    <w:rsid w:val="000A63A4"/>
    <w:rsid w:val="000A6B48"/>
    <w:rsid w:val="000C30E4"/>
    <w:rsid w:val="000C5CBB"/>
    <w:rsid w:val="000C7D0B"/>
    <w:rsid w:val="000C7F28"/>
    <w:rsid w:val="000D26F3"/>
    <w:rsid w:val="000E3AF6"/>
    <w:rsid w:val="000F122D"/>
    <w:rsid w:val="000F5AB5"/>
    <w:rsid w:val="001018D8"/>
    <w:rsid w:val="001048AB"/>
    <w:rsid w:val="0010771D"/>
    <w:rsid w:val="00110DA0"/>
    <w:rsid w:val="00142DCB"/>
    <w:rsid w:val="00144AE4"/>
    <w:rsid w:val="001524E0"/>
    <w:rsid w:val="001648C9"/>
    <w:rsid w:val="00180C74"/>
    <w:rsid w:val="00184B2E"/>
    <w:rsid w:val="00187110"/>
    <w:rsid w:val="00192981"/>
    <w:rsid w:val="00193201"/>
    <w:rsid w:val="001A4C91"/>
    <w:rsid w:val="001A4F6D"/>
    <w:rsid w:val="001A653E"/>
    <w:rsid w:val="001B1F1B"/>
    <w:rsid w:val="001B2F99"/>
    <w:rsid w:val="001B4E5D"/>
    <w:rsid w:val="001B626F"/>
    <w:rsid w:val="001C0CA9"/>
    <w:rsid w:val="001D1D3C"/>
    <w:rsid w:val="001D5479"/>
    <w:rsid w:val="001E5A92"/>
    <w:rsid w:val="001E6423"/>
    <w:rsid w:val="001F3F07"/>
    <w:rsid w:val="001F5447"/>
    <w:rsid w:val="00217637"/>
    <w:rsid w:val="00222EFA"/>
    <w:rsid w:val="002260A5"/>
    <w:rsid w:val="002352EA"/>
    <w:rsid w:val="00241889"/>
    <w:rsid w:val="00243D1A"/>
    <w:rsid w:val="00265E63"/>
    <w:rsid w:val="00265F60"/>
    <w:rsid w:val="00291490"/>
    <w:rsid w:val="0029615D"/>
    <w:rsid w:val="002C2E6A"/>
    <w:rsid w:val="002C3E8C"/>
    <w:rsid w:val="002C56D4"/>
    <w:rsid w:val="002E1F7F"/>
    <w:rsid w:val="002E4264"/>
    <w:rsid w:val="00314A11"/>
    <w:rsid w:val="0032568F"/>
    <w:rsid w:val="00331AFB"/>
    <w:rsid w:val="00333ED0"/>
    <w:rsid w:val="00340696"/>
    <w:rsid w:val="00347B8E"/>
    <w:rsid w:val="00347DFB"/>
    <w:rsid w:val="00360F99"/>
    <w:rsid w:val="00373021"/>
    <w:rsid w:val="00384816"/>
    <w:rsid w:val="00390989"/>
    <w:rsid w:val="003A27A7"/>
    <w:rsid w:val="003A4948"/>
    <w:rsid w:val="003B3700"/>
    <w:rsid w:val="003B6434"/>
    <w:rsid w:val="003D20C5"/>
    <w:rsid w:val="003D77C5"/>
    <w:rsid w:val="003E77BA"/>
    <w:rsid w:val="003F2F21"/>
    <w:rsid w:val="003F752D"/>
    <w:rsid w:val="00411FC9"/>
    <w:rsid w:val="00413189"/>
    <w:rsid w:val="004244F3"/>
    <w:rsid w:val="00424C72"/>
    <w:rsid w:val="004341EB"/>
    <w:rsid w:val="00444D98"/>
    <w:rsid w:val="00466EA4"/>
    <w:rsid w:val="00473476"/>
    <w:rsid w:val="004901E2"/>
    <w:rsid w:val="004B29A2"/>
    <w:rsid w:val="004D19EA"/>
    <w:rsid w:val="004D1F3F"/>
    <w:rsid w:val="004E3A27"/>
    <w:rsid w:val="004E7198"/>
    <w:rsid w:val="004F74A1"/>
    <w:rsid w:val="00506652"/>
    <w:rsid w:val="00506A6B"/>
    <w:rsid w:val="00517D21"/>
    <w:rsid w:val="0054081E"/>
    <w:rsid w:val="00560003"/>
    <w:rsid w:val="00563C96"/>
    <w:rsid w:val="00577359"/>
    <w:rsid w:val="00577A18"/>
    <w:rsid w:val="005810E3"/>
    <w:rsid w:val="005857DD"/>
    <w:rsid w:val="00591117"/>
    <w:rsid w:val="005930F0"/>
    <w:rsid w:val="00596F6E"/>
    <w:rsid w:val="0059787D"/>
    <w:rsid w:val="005A0816"/>
    <w:rsid w:val="005A4316"/>
    <w:rsid w:val="005A77A3"/>
    <w:rsid w:val="005B3307"/>
    <w:rsid w:val="005C5ED4"/>
    <w:rsid w:val="005C6B49"/>
    <w:rsid w:val="005C7554"/>
    <w:rsid w:val="005D4A7E"/>
    <w:rsid w:val="005E3D49"/>
    <w:rsid w:val="005E7714"/>
    <w:rsid w:val="00606813"/>
    <w:rsid w:val="00607A26"/>
    <w:rsid w:val="00610C0E"/>
    <w:rsid w:val="006121C7"/>
    <w:rsid w:val="006137FD"/>
    <w:rsid w:val="00625098"/>
    <w:rsid w:val="006275C8"/>
    <w:rsid w:val="00627642"/>
    <w:rsid w:val="00631983"/>
    <w:rsid w:val="006349D1"/>
    <w:rsid w:val="00642710"/>
    <w:rsid w:val="00661E61"/>
    <w:rsid w:val="00676CEF"/>
    <w:rsid w:val="0068431C"/>
    <w:rsid w:val="00692071"/>
    <w:rsid w:val="00693E91"/>
    <w:rsid w:val="006A00A2"/>
    <w:rsid w:val="006B018A"/>
    <w:rsid w:val="006C375D"/>
    <w:rsid w:val="006F578A"/>
    <w:rsid w:val="007002DC"/>
    <w:rsid w:val="007050CB"/>
    <w:rsid w:val="00705816"/>
    <w:rsid w:val="0070693E"/>
    <w:rsid w:val="00707A1E"/>
    <w:rsid w:val="007159E3"/>
    <w:rsid w:val="007212F8"/>
    <w:rsid w:val="00723964"/>
    <w:rsid w:val="0073180E"/>
    <w:rsid w:val="00733A38"/>
    <w:rsid w:val="00734C66"/>
    <w:rsid w:val="00735E33"/>
    <w:rsid w:val="007371DA"/>
    <w:rsid w:val="00761321"/>
    <w:rsid w:val="00770C49"/>
    <w:rsid w:val="00776B02"/>
    <w:rsid w:val="007858AB"/>
    <w:rsid w:val="00786A7E"/>
    <w:rsid w:val="00792910"/>
    <w:rsid w:val="0079365C"/>
    <w:rsid w:val="007A05C2"/>
    <w:rsid w:val="007A4C15"/>
    <w:rsid w:val="007B18B1"/>
    <w:rsid w:val="007B3893"/>
    <w:rsid w:val="007B73EF"/>
    <w:rsid w:val="007C1E72"/>
    <w:rsid w:val="007C292B"/>
    <w:rsid w:val="007C3351"/>
    <w:rsid w:val="007D221A"/>
    <w:rsid w:val="007D3E92"/>
    <w:rsid w:val="007E2405"/>
    <w:rsid w:val="007E3908"/>
    <w:rsid w:val="007F0825"/>
    <w:rsid w:val="0080089C"/>
    <w:rsid w:val="008061F8"/>
    <w:rsid w:val="00814E20"/>
    <w:rsid w:val="00815D78"/>
    <w:rsid w:val="008240D6"/>
    <w:rsid w:val="0082494A"/>
    <w:rsid w:val="00826008"/>
    <w:rsid w:val="00827CAB"/>
    <w:rsid w:val="00841EE6"/>
    <w:rsid w:val="00842489"/>
    <w:rsid w:val="00856D44"/>
    <w:rsid w:val="00861B50"/>
    <w:rsid w:val="00874A94"/>
    <w:rsid w:val="00875995"/>
    <w:rsid w:val="00877455"/>
    <w:rsid w:val="0088664F"/>
    <w:rsid w:val="00893BFE"/>
    <w:rsid w:val="008A661C"/>
    <w:rsid w:val="008B1AF7"/>
    <w:rsid w:val="008B7190"/>
    <w:rsid w:val="008C1B03"/>
    <w:rsid w:val="008C3F4C"/>
    <w:rsid w:val="008D533C"/>
    <w:rsid w:val="008E0915"/>
    <w:rsid w:val="008E32E8"/>
    <w:rsid w:val="008E4E85"/>
    <w:rsid w:val="008E6BC0"/>
    <w:rsid w:val="008E7667"/>
    <w:rsid w:val="008F1111"/>
    <w:rsid w:val="008F1FA5"/>
    <w:rsid w:val="008F3116"/>
    <w:rsid w:val="008F515F"/>
    <w:rsid w:val="00903083"/>
    <w:rsid w:val="0090475F"/>
    <w:rsid w:val="00911269"/>
    <w:rsid w:val="00912B28"/>
    <w:rsid w:val="00913AE3"/>
    <w:rsid w:val="009151D8"/>
    <w:rsid w:val="00916389"/>
    <w:rsid w:val="009228A1"/>
    <w:rsid w:val="0093010E"/>
    <w:rsid w:val="00933ACB"/>
    <w:rsid w:val="00944887"/>
    <w:rsid w:val="00957219"/>
    <w:rsid w:val="00961E16"/>
    <w:rsid w:val="00963361"/>
    <w:rsid w:val="00963691"/>
    <w:rsid w:val="00964EBB"/>
    <w:rsid w:val="009776F1"/>
    <w:rsid w:val="00992F12"/>
    <w:rsid w:val="00996885"/>
    <w:rsid w:val="009A1F77"/>
    <w:rsid w:val="009A3BCC"/>
    <w:rsid w:val="009A4D86"/>
    <w:rsid w:val="009B25B2"/>
    <w:rsid w:val="009B36F0"/>
    <w:rsid w:val="009B4AA9"/>
    <w:rsid w:val="009B6002"/>
    <w:rsid w:val="009B7460"/>
    <w:rsid w:val="009C608E"/>
    <w:rsid w:val="009C72DC"/>
    <w:rsid w:val="009D337D"/>
    <w:rsid w:val="009D3558"/>
    <w:rsid w:val="009E0367"/>
    <w:rsid w:val="009E28A6"/>
    <w:rsid w:val="009F073F"/>
    <w:rsid w:val="009F406A"/>
    <w:rsid w:val="009F7003"/>
    <w:rsid w:val="00A04248"/>
    <w:rsid w:val="00A053BC"/>
    <w:rsid w:val="00A06C92"/>
    <w:rsid w:val="00A07DA0"/>
    <w:rsid w:val="00A31218"/>
    <w:rsid w:val="00A41DF9"/>
    <w:rsid w:val="00A6125F"/>
    <w:rsid w:val="00A6285D"/>
    <w:rsid w:val="00A63094"/>
    <w:rsid w:val="00A66361"/>
    <w:rsid w:val="00A6700B"/>
    <w:rsid w:val="00A72BD0"/>
    <w:rsid w:val="00A82D46"/>
    <w:rsid w:val="00A85480"/>
    <w:rsid w:val="00A96552"/>
    <w:rsid w:val="00A97B1A"/>
    <w:rsid w:val="00AA16E1"/>
    <w:rsid w:val="00AB4E19"/>
    <w:rsid w:val="00AC26E4"/>
    <w:rsid w:val="00AC40B8"/>
    <w:rsid w:val="00AE642B"/>
    <w:rsid w:val="00AF0A07"/>
    <w:rsid w:val="00AF0FA1"/>
    <w:rsid w:val="00AF3145"/>
    <w:rsid w:val="00AF5237"/>
    <w:rsid w:val="00B02656"/>
    <w:rsid w:val="00B03D95"/>
    <w:rsid w:val="00B20482"/>
    <w:rsid w:val="00B407AC"/>
    <w:rsid w:val="00B42593"/>
    <w:rsid w:val="00B425F5"/>
    <w:rsid w:val="00B62587"/>
    <w:rsid w:val="00B65F53"/>
    <w:rsid w:val="00B83DA2"/>
    <w:rsid w:val="00B85100"/>
    <w:rsid w:val="00B8735E"/>
    <w:rsid w:val="00B91B05"/>
    <w:rsid w:val="00BA7B52"/>
    <w:rsid w:val="00BB0C1E"/>
    <w:rsid w:val="00BC3283"/>
    <w:rsid w:val="00BC3F7A"/>
    <w:rsid w:val="00BC4746"/>
    <w:rsid w:val="00BD1799"/>
    <w:rsid w:val="00BD3EF5"/>
    <w:rsid w:val="00BD70A2"/>
    <w:rsid w:val="00BE2C1C"/>
    <w:rsid w:val="00BF14DC"/>
    <w:rsid w:val="00C00D1B"/>
    <w:rsid w:val="00C0440C"/>
    <w:rsid w:val="00C246C5"/>
    <w:rsid w:val="00C30D9C"/>
    <w:rsid w:val="00C51AB5"/>
    <w:rsid w:val="00C53229"/>
    <w:rsid w:val="00C55A72"/>
    <w:rsid w:val="00C726D0"/>
    <w:rsid w:val="00C736C1"/>
    <w:rsid w:val="00C743EC"/>
    <w:rsid w:val="00C759FE"/>
    <w:rsid w:val="00C85FA6"/>
    <w:rsid w:val="00C87478"/>
    <w:rsid w:val="00C949FD"/>
    <w:rsid w:val="00CA1F14"/>
    <w:rsid w:val="00CB6F81"/>
    <w:rsid w:val="00CC36D1"/>
    <w:rsid w:val="00CC66A3"/>
    <w:rsid w:val="00CC684C"/>
    <w:rsid w:val="00CC6E07"/>
    <w:rsid w:val="00CD2749"/>
    <w:rsid w:val="00CD600B"/>
    <w:rsid w:val="00CF01E6"/>
    <w:rsid w:val="00D03D13"/>
    <w:rsid w:val="00D045B4"/>
    <w:rsid w:val="00D10E81"/>
    <w:rsid w:val="00D1284E"/>
    <w:rsid w:val="00D31B8D"/>
    <w:rsid w:val="00D37595"/>
    <w:rsid w:val="00D420E8"/>
    <w:rsid w:val="00D4579D"/>
    <w:rsid w:val="00D545ED"/>
    <w:rsid w:val="00D55691"/>
    <w:rsid w:val="00D81CDA"/>
    <w:rsid w:val="00D8306A"/>
    <w:rsid w:val="00D85374"/>
    <w:rsid w:val="00D91500"/>
    <w:rsid w:val="00D9187B"/>
    <w:rsid w:val="00DA20E7"/>
    <w:rsid w:val="00DA42C5"/>
    <w:rsid w:val="00DC08BE"/>
    <w:rsid w:val="00DC0FFA"/>
    <w:rsid w:val="00DC3A8C"/>
    <w:rsid w:val="00DE7DEE"/>
    <w:rsid w:val="00DF0862"/>
    <w:rsid w:val="00DF268C"/>
    <w:rsid w:val="00DF5AE2"/>
    <w:rsid w:val="00DF6A6A"/>
    <w:rsid w:val="00E20E36"/>
    <w:rsid w:val="00E21782"/>
    <w:rsid w:val="00E24F99"/>
    <w:rsid w:val="00E277DF"/>
    <w:rsid w:val="00E34556"/>
    <w:rsid w:val="00E36E1A"/>
    <w:rsid w:val="00E37730"/>
    <w:rsid w:val="00E4046D"/>
    <w:rsid w:val="00E53838"/>
    <w:rsid w:val="00E55F1E"/>
    <w:rsid w:val="00E56C76"/>
    <w:rsid w:val="00E60EA5"/>
    <w:rsid w:val="00E8572F"/>
    <w:rsid w:val="00E90F93"/>
    <w:rsid w:val="00E920FC"/>
    <w:rsid w:val="00EB372E"/>
    <w:rsid w:val="00EB55B3"/>
    <w:rsid w:val="00EB603F"/>
    <w:rsid w:val="00EC13B1"/>
    <w:rsid w:val="00EC4726"/>
    <w:rsid w:val="00ED04E2"/>
    <w:rsid w:val="00ED080C"/>
    <w:rsid w:val="00ED4F8C"/>
    <w:rsid w:val="00ED5546"/>
    <w:rsid w:val="00ED65C9"/>
    <w:rsid w:val="00EE5DB4"/>
    <w:rsid w:val="00EF0B45"/>
    <w:rsid w:val="00F1260D"/>
    <w:rsid w:val="00F145D6"/>
    <w:rsid w:val="00F321F6"/>
    <w:rsid w:val="00F422B4"/>
    <w:rsid w:val="00F4286A"/>
    <w:rsid w:val="00F64B77"/>
    <w:rsid w:val="00F67FC8"/>
    <w:rsid w:val="00F7076B"/>
    <w:rsid w:val="00F7482C"/>
    <w:rsid w:val="00FA50A2"/>
    <w:rsid w:val="00FB11D8"/>
    <w:rsid w:val="00FC2E52"/>
    <w:rsid w:val="00FC3E26"/>
    <w:rsid w:val="00FC43F2"/>
    <w:rsid w:val="00FD53E1"/>
    <w:rsid w:val="00FD760F"/>
    <w:rsid w:val="00FF003A"/>
    <w:rsid w:val="00FF3B43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130B7"/>
  <w15:chartTrackingRefBased/>
  <w15:docId w15:val="{2D69D3BB-F97C-4F2C-9B97-EF65021C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1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178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1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178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1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1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1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1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78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17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178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178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178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17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17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17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17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1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78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1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1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17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17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178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1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178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1782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FF003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042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dvedja.ls.gov.rs/media/mhkb2txn/esmp-_liid_medvedja-kontrolna_lista_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2297</Words>
  <Characters>13099</Characters>
  <Application>Microsoft Office Word</Application>
  <DocSecurity>0</DocSecurity>
  <Lines>109</Lines>
  <Paragraphs>30</Paragraphs>
  <ScaleCrop>false</ScaleCrop>
  <Company/>
  <LinksUpToDate>false</LinksUpToDate>
  <CharactersWithSpaces>15366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soljubica.hadzic@hotmail.com</cp:lastModifiedBy>
  <cp:revision>10</cp:revision>
  <cp:lastPrinted>2026-06-25T07:55:00Z</cp:lastPrinted>
  <dcterms:created xsi:type="dcterms:W3CDTF">2026-05-21T08:52:00Z</dcterms:created>
  <dcterms:modified xsi:type="dcterms:W3CDTF">2026-06-25T10:36:00Z</dcterms:modified>
</cp:coreProperties>
</file>