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9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627651" w:rsidRPr="006E2C0D" w:rsidTr="006E2C0D">
        <w:tc>
          <w:tcPr>
            <w:tcW w:w="8996" w:type="dxa"/>
            <w:shd w:val="clear" w:color="auto" w:fill="DEEAF6"/>
          </w:tcPr>
          <w:p w:rsidR="00627651" w:rsidRPr="006E2C0D" w:rsidRDefault="00627651" w:rsidP="006E2C0D">
            <w:pPr>
              <w:autoSpaceDE w:val="0"/>
              <w:autoSpaceDN w:val="0"/>
              <w:adjustRightInd w:val="0"/>
              <w:spacing w:after="0" w:line="240" w:lineRule="auto"/>
              <w:jc w:val="center"/>
              <w:rPr>
                <w:rFonts w:ascii="Times New Roman" w:eastAsia="Malgun Gothic" w:hAnsi="Times New Roman" w:cs="Times New Roman"/>
                <w:b/>
                <w:bCs/>
                <w:iCs/>
                <w:color w:val="000000"/>
                <w:sz w:val="24"/>
                <w:szCs w:val="24"/>
                <w:lang w:val="sr-Cyrl-RS"/>
              </w:rPr>
            </w:pPr>
            <w:r w:rsidRPr="006E2C0D">
              <w:rPr>
                <w:rFonts w:ascii="Times New Roman" w:eastAsia="Malgun Gothic" w:hAnsi="Times New Roman" w:cs="Times New Roman"/>
                <w:b/>
                <w:bCs/>
                <w:iCs/>
                <w:color w:val="000000"/>
                <w:sz w:val="24"/>
                <w:szCs w:val="24"/>
                <w:lang w:val="sr-Cyrl-RS"/>
              </w:rPr>
              <w:t>II ВРСТА, ТЕХНИЧКЕ КАРАКТЕ</w:t>
            </w:r>
            <w:r w:rsidR="001B670C" w:rsidRPr="006E2C0D">
              <w:rPr>
                <w:rFonts w:ascii="Times New Roman" w:eastAsia="Malgun Gothic" w:hAnsi="Times New Roman" w:cs="Times New Roman"/>
                <w:b/>
                <w:bCs/>
                <w:iCs/>
                <w:color w:val="000000"/>
                <w:sz w:val="24"/>
                <w:szCs w:val="24"/>
                <w:lang w:val="sr-Cyrl-RS"/>
              </w:rPr>
              <w:t>РИСТИКЕ (СПЕЦИФИКАЦИЈА), НАЧИН,</w:t>
            </w:r>
            <w:r w:rsidRPr="006E2C0D">
              <w:rPr>
                <w:rFonts w:ascii="Times New Roman" w:eastAsia="Malgun Gothic" w:hAnsi="Times New Roman" w:cs="Times New Roman"/>
                <w:b/>
                <w:bCs/>
                <w:iCs/>
                <w:color w:val="000000"/>
                <w:sz w:val="24"/>
                <w:szCs w:val="24"/>
                <w:lang w:val="sr-Cyrl-RS"/>
              </w:rPr>
              <w:t xml:space="preserve"> РОК </w:t>
            </w:r>
            <w:r w:rsidR="001B670C" w:rsidRPr="006E2C0D">
              <w:rPr>
                <w:rFonts w:ascii="Times New Roman" w:eastAsia="Malgun Gothic" w:hAnsi="Times New Roman" w:cs="Times New Roman"/>
                <w:b/>
                <w:bCs/>
                <w:iCs/>
                <w:color w:val="000000"/>
                <w:sz w:val="24"/>
                <w:szCs w:val="24"/>
                <w:lang w:val="sr-Cyrl-RS"/>
              </w:rPr>
              <w:t>ИЗВРШЕЊА УСЛУГА</w:t>
            </w:r>
            <w:r w:rsidRPr="006E2C0D">
              <w:rPr>
                <w:rFonts w:ascii="Times New Roman" w:eastAsia="Malgun Gothic" w:hAnsi="Times New Roman" w:cs="Times New Roman"/>
                <w:b/>
                <w:bCs/>
                <w:iCs/>
                <w:color w:val="000000"/>
                <w:sz w:val="24"/>
                <w:szCs w:val="24"/>
                <w:lang w:val="sr-Cyrl-RS"/>
              </w:rPr>
              <w:t>, ТЕХНИЧКА ДОКУМЕНТАЦИЈА,</w:t>
            </w:r>
          </w:p>
          <w:p w:rsidR="00627651" w:rsidRPr="006E2C0D" w:rsidRDefault="00627651" w:rsidP="006E2C0D">
            <w:pPr>
              <w:autoSpaceDE w:val="0"/>
              <w:autoSpaceDN w:val="0"/>
              <w:adjustRightInd w:val="0"/>
              <w:spacing w:after="0" w:line="240" w:lineRule="auto"/>
              <w:jc w:val="center"/>
              <w:rPr>
                <w:rFonts w:ascii="Times New Roman" w:eastAsia="Malgun Gothic" w:hAnsi="Times New Roman" w:cs="Times New Roman"/>
                <w:color w:val="000000"/>
                <w:sz w:val="24"/>
                <w:szCs w:val="24"/>
                <w:lang w:val="sr-Cyrl-RS"/>
              </w:rPr>
            </w:pPr>
            <w:r w:rsidRPr="006E2C0D">
              <w:rPr>
                <w:rFonts w:ascii="Times New Roman" w:eastAsia="Malgun Gothic" w:hAnsi="Times New Roman" w:cs="Times New Roman"/>
                <w:b/>
                <w:bCs/>
                <w:iCs/>
                <w:color w:val="000000"/>
                <w:sz w:val="24"/>
                <w:szCs w:val="24"/>
                <w:lang w:val="sr-Cyrl-RS"/>
              </w:rPr>
              <w:t xml:space="preserve"> ОБЕЗБЕЂИВАЊА ГАРАНЦИЈЕ КВАЛИТЕТА</w:t>
            </w:r>
          </w:p>
        </w:tc>
      </w:tr>
    </w:tbl>
    <w:p w:rsidR="0089042F" w:rsidRPr="006E2C0D" w:rsidRDefault="0089042F" w:rsidP="006E2C0D">
      <w:pPr>
        <w:widowControl w:val="0"/>
        <w:tabs>
          <w:tab w:val="left" w:pos="630"/>
          <w:tab w:val="left" w:pos="990"/>
        </w:tabs>
        <w:suppressAutoHyphens/>
        <w:autoSpaceDE w:val="0"/>
        <w:autoSpaceDN w:val="0"/>
        <w:adjustRightInd w:val="0"/>
        <w:spacing w:after="0" w:line="240" w:lineRule="auto"/>
        <w:jc w:val="both"/>
        <w:rPr>
          <w:rFonts w:ascii="Times New Roman" w:eastAsia="Droid Sans Fallback" w:hAnsi="Times New Roman" w:cs="Calibri"/>
          <w:b/>
          <w:bCs/>
          <w:kern w:val="1"/>
          <w:sz w:val="24"/>
          <w:szCs w:val="24"/>
          <w:lang w:val="sr-Cyrl-RS" w:eastAsia="ar-SA"/>
        </w:rPr>
      </w:pPr>
    </w:p>
    <w:p w:rsidR="0017767C" w:rsidRPr="006E2C0D" w:rsidRDefault="0017767C" w:rsidP="006E2C0D">
      <w:pPr>
        <w:widowControl w:val="0"/>
        <w:tabs>
          <w:tab w:val="left" w:pos="630"/>
          <w:tab w:val="left" w:pos="990"/>
        </w:tabs>
        <w:suppressAutoHyphens/>
        <w:autoSpaceDE w:val="0"/>
        <w:autoSpaceDN w:val="0"/>
        <w:adjustRightInd w:val="0"/>
        <w:spacing w:after="0" w:line="240" w:lineRule="auto"/>
        <w:ind w:firstLine="1134"/>
        <w:jc w:val="both"/>
        <w:rPr>
          <w:rFonts w:ascii="Times New Roman" w:eastAsia="Droid Sans Fallback" w:hAnsi="Times New Roman" w:cs="Calibri"/>
          <w:b/>
          <w:bCs/>
          <w:kern w:val="1"/>
          <w:sz w:val="24"/>
          <w:szCs w:val="24"/>
          <w:lang w:val="sr-Cyrl-RS" w:eastAsia="ar-SA"/>
        </w:rPr>
      </w:pPr>
      <w:r w:rsidRPr="006E2C0D">
        <w:rPr>
          <w:rFonts w:ascii="Times New Roman" w:eastAsia="Droid Sans Fallback" w:hAnsi="Times New Roman" w:cs="Calibri"/>
          <w:b/>
          <w:bCs/>
          <w:kern w:val="1"/>
          <w:sz w:val="24"/>
          <w:szCs w:val="24"/>
          <w:lang w:val="sr-Cyrl-RS" w:eastAsia="ar-SA"/>
        </w:rPr>
        <w:t>Техничка спецификација</w:t>
      </w:r>
    </w:p>
    <w:p w:rsidR="0089042F" w:rsidRPr="006E2C0D" w:rsidRDefault="006E2C0D" w:rsidP="006E2C0D">
      <w:pPr>
        <w:pStyle w:val="ListParagraph"/>
        <w:tabs>
          <w:tab w:val="left" w:pos="630"/>
        </w:tabs>
        <w:spacing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Министарство финансија и Фонд за развој Републике Србије намеравају да изврше прибављање услуга </w:t>
      </w:r>
      <w:r w:rsidR="0089042F" w:rsidRPr="006E2C0D">
        <w:rPr>
          <w:rFonts w:ascii="Times New Roman" w:eastAsia="Droid Sans Fallback" w:hAnsi="Times New Roman" w:cs="Calibri"/>
          <w:bCs/>
          <w:kern w:val="1"/>
          <w:sz w:val="24"/>
          <w:szCs w:val="24"/>
          <w:lang w:val="sr-Cyrl-RS" w:eastAsia="ar-SA"/>
        </w:rPr>
        <w:t xml:space="preserve">посебних дијагностичких испитивања пословања Фонда за развој Републике Србије, које ће обухватити анализу релевантних процеса одобравања и квалитета одобрених и реализованих кредита, аванса и свих осталих врста кредитне изложености, укључујући гаранције, акредитиве, </w:t>
      </w:r>
      <w:proofErr w:type="spellStart"/>
      <w:r w:rsidR="0089042F" w:rsidRPr="006E2C0D">
        <w:rPr>
          <w:rFonts w:ascii="Times New Roman" w:eastAsia="Droid Sans Fallback" w:hAnsi="Times New Roman" w:cs="Calibri"/>
          <w:bCs/>
          <w:kern w:val="1"/>
          <w:sz w:val="24"/>
          <w:szCs w:val="24"/>
          <w:lang w:val="sr-Cyrl-RS" w:eastAsia="ar-SA"/>
        </w:rPr>
        <w:t>факторинг</w:t>
      </w:r>
      <w:proofErr w:type="spellEnd"/>
      <w:r w:rsidR="0089042F" w:rsidRPr="006E2C0D">
        <w:rPr>
          <w:rFonts w:ascii="Times New Roman" w:eastAsia="Droid Sans Fallback" w:hAnsi="Times New Roman" w:cs="Calibri"/>
          <w:bCs/>
          <w:kern w:val="1"/>
          <w:sz w:val="24"/>
          <w:szCs w:val="24"/>
          <w:lang w:val="sr-Cyrl-RS" w:eastAsia="ar-SA"/>
        </w:rPr>
        <w:t>, осигурање, реосигурање и сличне ванбилансне (повезане) изложености (у даљем тексту заједнички означене као: Ризична Актива) као и квалитет осталих билансних позиција, са пресеком на дан 31. децембар 2021. године (у даљем тексту: Референтни датум), са упоредивим подацима на дан 31. децембар 2020. године. Сврха испитивања је да се процени адекватност рачуноводствених политика, квалитет активе и резервација за идентификоване губитке у складу са Међународним стандардима финансијског извештавања (МСФИ).</w:t>
      </w:r>
    </w:p>
    <w:p w:rsidR="0089042F" w:rsidRPr="006E2C0D" w:rsidRDefault="0089042F" w:rsidP="006E2C0D">
      <w:pPr>
        <w:pStyle w:val="ListParagraph"/>
        <w:tabs>
          <w:tab w:val="left" w:pos="630"/>
        </w:tabs>
        <w:spacing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Услуге саветовања ће бити спроведене од стране ревизорске куће која се налази на Листи спољних ревизора који могу вршити ревизију финансијских извештаја банке, утврђеној од стране Народне банке Србије (у даљем тексту: Изабрани понуђач) и биће извршена у складу са Међународним стандардима финансијског извештавања (у даљем тексту: МСФИ).</w:t>
      </w:r>
    </w:p>
    <w:p w:rsidR="0089042F" w:rsidRPr="006E2C0D" w:rsidRDefault="0089042F" w:rsidP="006E2C0D">
      <w:pPr>
        <w:pStyle w:val="ListParagraph"/>
        <w:tabs>
          <w:tab w:val="left" w:pos="630"/>
        </w:tabs>
        <w:spacing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Приликом спровођења услуга саветовања, од Изабраног понуђача се очекује да узме у обзир </w:t>
      </w:r>
      <w:proofErr w:type="spellStart"/>
      <w:r w:rsidRPr="006E2C0D">
        <w:rPr>
          <w:rFonts w:ascii="Times New Roman" w:eastAsia="Droid Sans Fallback" w:hAnsi="Times New Roman" w:cs="Calibri"/>
          <w:bCs/>
          <w:kern w:val="1"/>
          <w:sz w:val="24"/>
          <w:szCs w:val="24"/>
          <w:lang w:val="sr-Cyrl-RS" w:eastAsia="ar-SA"/>
        </w:rPr>
        <w:t>ефективност</w:t>
      </w:r>
      <w:proofErr w:type="spellEnd"/>
      <w:r w:rsidRPr="006E2C0D">
        <w:rPr>
          <w:rFonts w:ascii="Times New Roman" w:eastAsia="Droid Sans Fallback" w:hAnsi="Times New Roman" w:cs="Calibri"/>
          <w:bCs/>
          <w:kern w:val="1"/>
          <w:sz w:val="24"/>
          <w:szCs w:val="24"/>
          <w:lang w:val="sr-Cyrl-RS" w:eastAsia="ar-SA"/>
        </w:rPr>
        <w:t xml:space="preserve"> и поузданост политика рачуноводства и управљања ризицима Фондом, као и њихове административне и интерне контроле и процедуре финансијског извештавања (погледати одељак Б доле).</w:t>
      </w:r>
    </w:p>
    <w:p w:rsidR="0089042F" w:rsidRPr="006E2C0D" w:rsidRDefault="0089042F" w:rsidP="006E2C0D">
      <w:pPr>
        <w:pStyle w:val="ListParagraph"/>
        <w:tabs>
          <w:tab w:val="left" w:pos="630"/>
          <w:tab w:val="left" w:pos="720"/>
          <w:tab w:val="left" w:pos="900"/>
        </w:tabs>
        <w:spacing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Изабрани понуђач ће засновати свој рад на основу пројектног плана рада одобреног или враћеног на дораду са писаним инструкцијама од стране Наручиоца у року од два (2) дана од дана добијања пројектног плана који описује приступ и детаљне процедуре за услуге саветовања и пружа прецизан </w:t>
      </w:r>
      <w:proofErr w:type="spellStart"/>
      <w:r w:rsidRPr="006E2C0D">
        <w:rPr>
          <w:rFonts w:ascii="Times New Roman" w:eastAsia="Droid Sans Fallback" w:hAnsi="Times New Roman" w:cs="Calibri"/>
          <w:bCs/>
          <w:kern w:val="1"/>
          <w:sz w:val="24"/>
          <w:szCs w:val="24"/>
          <w:lang w:val="sr-Cyrl-RS" w:eastAsia="ar-SA"/>
        </w:rPr>
        <w:t>ходограм</w:t>
      </w:r>
      <w:proofErr w:type="spellEnd"/>
      <w:r w:rsidRPr="006E2C0D">
        <w:rPr>
          <w:rFonts w:ascii="Times New Roman" w:eastAsia="Droid Sans Fallback" w:hAnsi="Times New Roman" w:cs="Calibri"/>
          <w:bCs/>
          <w:kern w:val="1"/>
          <w:sz w:val="24"/>
          <w:szCs w:val="24"/>
          <w:lang w:val="sr-Cyrl-RS" w:eastAsia="ar-SA"/>
        </w:rPr>
        <w:t xml:space="preserve"> активности услуга саветовања (погледати одељак Д доле).</w:t>
      </w:r>
    </w:p>
    <w:p w:rsidR="0089042F" w:rsidRPr="006E2C0D" w:rsidRDefault="0089042F" w:rsidP="006E2C0D">
      <w:pPr>
        <w:pStyle w:val="Subtitle"/>
        <w:numPr>
          <w:ilvl w:val="0"/>
          <w:numId w:val="24"/>
        </w:numPr>
        <w:tabs>
          <w:tab w:val="left" w:pos="630"/>
          <w:tab w:val="left" w:pos="720"/>
          <w:tab w:val="left" w:pos="900"/>
        </w:tabs>
        <w:adjustRightInd/>
        <w:spacing w:after="0" w:line="240" w:lineRule="auto"/>
        <w:ind w:left="0" w:firstLine="1134"/>
        <w:contextualSpacing/>
        <w:rPr>
          <w:rFonts w:ascii="Times New Roman" w:eastAsia="Droid Sans Fallback" w:hAnsi="Times New Roman" w:cs="Calibri"/>
          <w:b/>
          <w:bCs/>
          <w:i w:val="0"/>
          <w:iCs w:val="0"/>
          <w:color w:val="auto"/>
          <w:spacing w:val="0"/>
          <w:kern w:val="1"/>
          <w:lang w:val="sr-Cyrl-RS" w:eastAsia="ar-SA"/>
        </w:rPr>
      </w:pPr>
      <w:r w:rsidRPr="006E2C0D">
        <w:rPr>
          <w:rFonts w:ascii="Times New Roman" w:eastAsia="Droid Sans Fallback" w:hAnsi="Times New Roman" w:cs="Calibri"/>
          <w:b/>
          <w:bCs/>
          <w:i w:val="0"/>
          <w:iCs w:val="0"/>
          <w:color w:val="auto"/>
          <w:spacing w:val="0"/>
          <w:kern w:val="1"/>
          <w:lang w:val="sr-Cyrl-RS" w:eastAsia="ar-SA"/>
        </w:rPr>
        <w:t>Подаци који ће бити достављени Изабраном понуђачу</w:t>
      </w:r>
    </w:p>
    <w:p w:rsidR="0089042F" w:rsidRPr="006E2C0D" w:rsidRDefault="0089042F" w:rsidP="006E2C0D">
      <w:pPr>
        <w:pStyle w:val="ListParagraph"/>
        <w:numPr>
          <w:ilvl w:val="0"/>
          <w:numId w:val="25"/>
        </w:numPr>
        <w:tabs>
          <w:tab w:val="left" w:pos="630"/>
          <w:tab w:val="left" w:pos="72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Наручилац ће обезбедити да надлежна лица у Фонду представницима Изабраног понуђача учине  доступним следећа документа:</w:t>
      </w:r>
    </w:p>
    <w:p w:rsidR="0089042F" w:rsidRPr="006E2C0D" w:rsidRDefault="0089042F" w:rsidP="006E2C0D">
      <w:pPr>
        <w:pStyle w:val="ListParagraph"/>
        <w:numPr>
          <w:ilvl w:val="0"/>
          <w:numId w:val="26"/>
        </w:numPr>
        <w:tabs>
          <w:tab w:val="left" w:pos="540"/>
          <w:tab w:val="left" w:pos="630"/>
          <w:tab w:val="left" w:pos="72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ревидиране појединачне или консолидоване (у зависности од случаја) годишње финансијске извештаје за 2020. годину и  2019. годину, као и </w:t>
      </w:r>
      <w:proofErr w:type="spellStart"/>
      <w:r w:rsidRPr="006E2C0D">
        <w:rPr>
          <w:rFonts w:ascii="Times New Roman" w:eastAsia="Droid Sans Fallback" w:hAnsi="Times New Roman" w:cs="Calibri"/>
          <w:bCs/>
          <w:kern w:val="1"/>
          <w:sz w:val="24"/>
          <w:szCs w:val="24"/>
          <w:lang w:val="sr-Cyrl-RS" w:eastAsia="ar-SA"/>
        </w:rPr>
        <w:t>неревидиране</w:t>
      </w:r>
      <w:proofErr w:type="spellEnd"/>
      <w:r w:rsidRPr="006E2C0D">
        <w:rPr>
          <w:rFonts w:ascii="Times New Roman" w:eastAsia="Droid Sans Fallback" w:hAnsi="Times New Roman" w:cs="Calibri"/>
          <w:bCs/>
          <w:kern w:val="1"/>
          <w:sz w:val="24"/>
          <w:szCs w:val="24"/>
          <w:lang w:val="sr-Cyrl-RS" w:eastAsia="ar-SA"/>
        </w:rPr>
        <w:t xml:space="preserve"> појединачне или консолидоване финансијске извештаје на Референтни датум, припремљене у складу са Стандардима извештавања;</w:t>
      </w:r>
    </w:p>
    <w:p w:rsidR="0089042F" w:rsidRPr="006E2C0D" w:rsidRDefault="0089042F" w:rsidP="006E2C0D">
      <w:pPr>
        <w:pStyle w:val="ListParagraph"/>
        <w:numPr>
          <w:ilvl w:val="0"/>
          <w:numId w:val="26"/>
        </w:numPr>
        <w:tabs>
          <w:tab w:val="left" w:pos="540"/>
          <w:tab w:val="left" w:pos="630"/>
          <w:tab w:val="left" w:pos="72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политике, методологије и процедуре које Изабрани понуђач сматра релевантним за контекст ове услуге саветовања. Ово обухвата, али неће бити ограничено на праксе рачуноводства / финансијског извештавања, стандарде кредитирања, финансирања, гарантовања и осигурања, стандарде, методологије и политике управљања и контроле ризика и процедуре и методологије за процену вредности и управљање средствима обезбеђења;</w:t>
      </w:r>
    </w:p>
    <w:p w:rsidR="0089042F" w:rsidRPr="006E2C0D" w:rsidRDefault="0089042F" w:rsidP="006E2C0D">
      <w:pPr>
        <w:pStyle w:val="ListParagraph"/>
        <w:numPr>
          <w:ilvl w:val="0"/>
          <w:numId w:val="26"/>
        </w:numPr>
        <w:tabs>
          <w:tab w:val="left" w:pos="540"/>
          <w:tab w:val="left" w:pos="630"/>
          <w:tab w:val="left" w:pos="72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детаљне шеме са спецификацијом састава кредитних портфолија, са бруто/нето прегледом на основу, између осталог, типа Ризичне Активе </w:t>
      </w:r>
      <w:r w:rsidRPr="006E2C0D">
        <w:rPr>
          <w:rFonts w:ascii="Times New Roman" w:eastAsia="Droid Sans Fallback" w:hAnsi="Times New Roman" w:cs="Calibri"/>
          <w:bCs/>
          <w:kern w:val="1"/>
          <w:sz w:val="24"/>
          <w:szCs w:val="24"/>
          <w:lang w:val="sr-Cyrl-RS" w:eastAsia="ar-SA"/>
        </w:rPr>
        <w:lastRenderedPageBreak/>
        <w:t xml:space="preserve">(билансни/ванбилансни), индустријског сегмента, географске дистрибуције, </w:t>
      </w:r>
      <w:proofErr w:type="spellStart"/>
      <w:r w:rsidRPr="006E2C0D">
        <w:rPr>
          <w:rFonts w:ascii="Times New Roman" w:eastAsia="Droid Sans Fallback" w:hAnsi="Times New Roman" w:cs="Calibri"/>
          <w:bCs/>
          <w:kern w:val="1"/>
          <w:sz w:val="24"/>
          <w:szCs w:val="24"/>
          <w:lang w:val="sr-Cyrl-RS" w:eastAsia="ar-SA"/>
        </w:rPr>
        <w:t>средст</w:t>
      </w:r>
      <w:proofErr w:type="spellEnd"/>
      <w:r w:rsidRPr="006E2C0D">
        <w:rPr>
          <w:rFonts w:ascii="Times New Roman" w:eastAsia="Droid Sans Fallback" w:hAnsi="Times New Roman" w:cs="Calibri"/>
          <w:bCs/>
          <w:kern w:val="1"/>
          <w:sz w:val="24"/>
          <w:szCs w:val="24"/>
          <w:lang w:val="sr-Cyrl-RS" w:eastAsia="ar-SA"/>
        </w:rPr>
        <w:t>(а)</w:t>
      </w:r>
      <w:proofErr w:type="spellStart"/>
      <w:r w:rsidRPr="006E2C0D">
        <w:rPr>
          <w:rFonts w:ascii="Times New Roman" w:eastAsia="Droid Sans Fallback" w:hAnsi="Times New Roman" w:cs="Calibri"/>
          <w:bCs/>
          <w:kern w:val="1"/>
          <w:sz w:val="24"/>
          <w:szCs w:val="24"/>
          <w:lang w:val="sr-Cyrl-RS" w:eastAsia="ar-SA"/>
        </w:rPr>
        <w:t>ва</w:t>
      </w:r>
      <w:proofErr w:type="spellEnd"/>
      <w:r w:rsidRPr="006E2C0D">
        <w:rPr>
          <w:rFonts w:ascii="Times New Roman" w:eastAsia="Droid Sans Fallback" w:hAnsi="Times New Roman" w:cs="Calibri"/>
          <w:bCs/>
          <w:kern w:val="1"/>
          <w:sz w:val="24"/>
          <w:szCs w:val="24"/>
          <w:lang w:val="sr-Cyrl-RS" w:eastAsia="ar-SA"/>
        </w:rPr>
        <w:t xml:space="preserve"> обезбеђења и доспећа; </w:t>
      </w:r>
    </w:p>
    <w:p w:rsidR="0089042F" w:rsidRPr="006E2C0D" w:rsidRDefault="0089042F" w:rsidP="006E2C0D">
      <w:pPr>
        <w:pStyle w:val="ListParagraph"/>
        <w:numPr>
          <w:ilvl w:val="0"/>
          <w:numId w:val="26"/>
        </w:numPr>
        <w:tabs>
          <w:tab w:val="left" w:pos="540"/>
          <w:tab w:val="left" w:pos="630"/>
          <w:tab w:val="left" w:pos="72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досије клијената по сваком типу Ризичне Активе (у даљем тексту: Кредитни досијеи) и пратећу документацију, укључујући и документацију која се односи на (процену вредности) средстава обезбеђења; и </w:t>
      </w:r>
    </w:p>
    <w:p w:rsidR="0089042F" w:rsidRPr="006E2C0D" w:rsidRDefault="0089042F" w:rsidP="006E2C0D">
      <w:pPr>
        <w:pStyle w:val="ListParagraph"/>
        <w:numPr>
          <w:ilvl w:val="0"/>
          <w:numId w:val="26"/>
        </w:numPr>
        <w:tabs>
          <w:tab w:val="left" w:pos="540"/>
          <w:tab w:val="left" w:pos="630"/>
          <w:tab w:val="left" w:pos="72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сва остала документа, извештаје и пратеће податке које Изабрани понуђач сматра неопходним, а што ће бити наведено у захтеву за подацима који ће доставити Изабрани понуђач, за спровођење анализа, припрему писаног извештаја и вршење обавеза у складу са овом техничком спецификацијом. </w:t>
      </w:r>
    </w:p>
    <w:p w:rsidR="0089042F" w:rsidRPr="006E2C0D" w:rsidRDefault="0089042F" w:rsidP="006E2C0D">
      <w:pPr>
        <w:pStyle w:val="ListParagraph"/>
        <w:numPr>
          <w:ilvl w:val="0"/>
          <w:numId w:val="25"/>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Изабрани понуђач ће известити Наручиоца без одлагања о било којем случају где су више руководство и/или запослени Фонда одбили да доставе податке које је Изабрани понуђач захтевао у контексту услуга саветовања. Наручилац се обавезује да ће уложити све напоре како би обезбедио Изабраном понуђачу несметан приступ свим подацима неопходним за спровођење ове техничке спецификације.</w:t>
      </w:r>
    </w:p>
    <w:p w:rsidR="00FD1022" w:rsidRPr="006E2C0D" w:rsidRDefault="00FD1022" w:rsidP="006E2C0D">
      <w:pPr>
        <w:tabs>
          <w:tab w:val="left" w:pos="900"/>
        </w:tabs>
        <w:contextualSpacing/>
        <w:jc w:val="both"/>
        <w:rPr>
          <w:rFonts w:ascii="Times New Roman" w:eastAsia="Droid Sans Fallback" w:hAnsi="Times New Roman" w:cs="Calibri"/>
          <w:b/>
          <w:bCs/>
          <w:kern w:val="1"/>
          <w:sz w:val="24"/>
          <w:szCs w:val="24"/>
          <w:lang w:val="sr-Cyrl-RS" w:eastAsia="ar-SA"/>
        </w:rPr>
      </w:pPr>
    </w:p>
    <w:p w:rsidR="0089042F" w:rsidRPr="006E2C0D" w:rsidRDefault="0089042F" w:rsidP="006E2C0D">
      <w:pPr>
        <w:tabs>
          <w:tab w:val="left" w:pos="900"/>
        </w:tabs>
        <w:ind w:firstLine="1134"/>
        <w:contextualSpacing/>
        <w:jc w:val="both"/>
        <w:rPr>
          <w:rFonts w:ascii="Times New Roman" w:eastAsia="Droid Sans Fallback" w:hAnsi="Times New Roman" w:cs="Calibri"/>
          <w:b/>
          <w:bCs/>
          <w:kern w:val="1"/>
          <w:sz w:val="24"/>
          <w:szCs w:val="24"/>
          <w:lang w:val="sr-Cyrl-RS" w:eastAsia="ar-SA"/>
        </w:rPr>
      </w:pPr>
      <w:r w:rsidRPr="006E2C0D">
        <w:rPr>
          <w:rFonts w:ascii="Times New Roman" w:eastAsia="Droid Sans Fallback" w:hAnsi="Times New Roman" w:cs="Calibri"/>
          <w:b/>
          <w:bCs/>
          <w:kern w:val="1"/>
          <w:sz w:val="24"/>
          <w:szCs w:val="24"/>
          <w:lang w:val="sr-Cyrl-RS" w:eastAsia="ar-SA"/>
        </w:rPr>
        <w:t xml:space="preserve">Б. Преглед пословне стратегије, политика, процедура, оквира за управљање ризицима и руковођење Фондом </w:t>
      </w:r>
    </w:p>
    <w:p w:rsidR="0089042F" w:rsidRPr="006E2C0D" w:rsidRDefault="0089042F" w:rsidP="006E2C0D">
      <w:pPr>
        <w:pStyle w:val="ListParagraph"/>
        <w:numPr>
          <w:ilvl w:val="0"/>
          <w:numId w:val="27"/>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Изабрани понуђач ће извршити процену пословне стратегије Фонда. Прецизније, Изабрани понуђач ће доставити:</w:t>
      </w:r>
      <w:bookmarkStart w:id="0" w:name="_cp_text_1_28"/>
    </w:p>
    <w:bookmarkEnd w:id="0"/>
    <w:p w:rsidR="0089042F" w:rsidRPr="006E2C0D" w:rsidRDefault="0089042F" w:rsidP="006E2C0D">
      <w:pPr>
        <w:pStyle w:val="ListParagraph"/>
        <w:numPr>
          <w:ilvl w:val="1"/>
          <w:numId w:val="22"/>
        </w:numPr>
        <w:tabs>
          <w:tab w:val="left" w:pos="63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опис тржишних сегмената, линија пословања и производа;</w:t>
      </w:r>
    </w:p>
    <w:p w:rsidR="0089042F" w:rsidRPr="006E2C0D" w:rsidRDefault="0089042F" w:rsidP="006E2C0D">
      <w:pPr>
        <w:pStyle w:val="ListParagraph"/>
        <w:numPr>
          <w:ilvl w:val="1"/>
          <w:numId w:val="22"/>
        </w:numPr>
        <w:tabs>
          <w:tab w:val="left" w:pos="63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преглед тржишног удела Фонда по производу/линији пословања;</w:t>
      </w:r>
    </w:p>
    <w:p w:rsidR="0089042F" w:rsidRPr="006E2C0D" w:rsidRDefault="0089042F" w:rsidP="006E2C0D">
      <w:pPr>
        <w:pStyle w:val="ListParagraph"/>
        <w:numPr>
          <w:ilvl w:val="1"/>
          <w:numId w:val="22"/>
        </w:numPr>
        <w:tabs>
          <w:tab w:val="left" w:pos="63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преглед конкурентних предности и недостатака Фонда у поређењу са осталим </w:t>
      </w:r>
      <w:proofErr w:type="spellStart"/>
      <w:r w:rsidRPr="006E2C0D">
        <w:rPr>
          <w:rFonts w:ascii="Times New Roman" w:eastAsia="Droid Sans Fallback" w:hAnsi="Times New Roman" w:cs="Calibri"/>
          <w:bCs/>
          <w:kern w:val="1"/>
          <w:sz w:val="24"/>
          <w:szCs w:val="24"/>
          <w:lang w:val="sr-Cyrl-RS" w:eastAsia="ar-SA"/>
        </w:rPr>
        <w:t>пружаоцима</w:t>
      </w:r>
      <w:proofErr w:type="spellEnd"/>
      <w:r w:rsidRPr="006E2C0D">
        <w:rPr>
          <w:rFonts w:ascii="Times New Roman" w:eastAsia="Droid Sans Fallback" w:hAnsi="Times New Roman" w:cs="Calibri"/>
          <w:bCs/>
          <w:kern w:val="1"/>
          <w:sz w:val="24"/>
          <w:szCs w:val="24"/>
          <w:lang w:val="sr-Cyrl-RS" w:eastAsia="ar-SA"/>
        </w:rPr>
        <w:t xml:space="preserve"> финансијских услуга у сваком од тржиш</w:t>
      </w:r>
      <w:bookmarkStart w:id="1" w:name="_cp_text_2_39"/>
      <w:r w:rsidRPr="006E2C0D">
        <w:rPr>
          <w:rFonts w:ascii="Times New Roman" w:eastAsia="Droid Sans Fallback" w:hAnsi="Times New Roman" w:cs="Calibri"/>
          <w:bCs/>
          <w:kern w:val="1"/>
          <w:sz w:val="24"/>
          <w:szCs w:val="24"/>
          <w:lang w:val="sr-Cyrl-RS" w:eastAsia="ar-SA"/>
        </w:rPr>
        <w:t xml:space="preserve">них сегмената; </w:t>
      </w:r>
      <w:bookmarkStart w:id="2" w:name="_cp_blt_1_46"/>
      <w:bookmarkEnd w:id="1"/>
      <w:r w:rsidRPr="006E2C0D">
        <w:rPr>
          <w:rFonts w:ascii="Times New Roman" w:eastAsia="Droid Sans Fallback" w:hAnsi="Times New Roman" w:cs="Calibri"/>
          <w:bCs/>
          <w:kern w:val="1"/>
          <w:sz w:val="24"/>
          <w:szCs w:val="24"/>
          <w:lang w:val="sr-Cyrl-RS" w:eastAsia="ar-SA"/>
        </w:rPr>
        <w:t>и</w:t>
      </w:r>
    </w:p>
    <w:p w:rsidR="0089042F" w:rsidRPr="006E2C0D" w:rsidRDefault="0089042F" w:rsidP="006E2C0D">
      <w:pPr>
        <w:pStyle w:val="ListParagraph"/>
        <w:numPr>
          <w:ilvl w:val="1"/>
          <w:numId w:val="22"/>
        </w:numPr>
        <w:tabs>
          <w:tab w:val="left" w:pos="63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потенцијал и перспективу пословног модела Фонда у сваком релевантном тржишном сегменту и за сваку појединачну линију пословања и производ</w:t>
      </w:r>
      <w:bookmarkEnd w:id="2"/>
      <w:r w:rsidRPr="006E2C0D">
        <w:rPr>
          <w:rFonts w:ascii="Times New Roman" w:eastAsia="Droid Sans Fallback" w:hAnsi="Times New Roman" w:cs="Calibri"/>
          <w:bCs/>
          <w:kern w:val="1"/>
          <w:sz w:val="24"/>
          <w:szCs w:val="24"/>
          <w:lang w:val="sr-Cyrl-RS" w:eastAsia="ar-SA"/>
        </w:rPr>
        <w:t>.</w:t>
      </w:r>
    </w:p>
    <w:p w:rsidR="00FD1022" w:rsidRPr="006E2C0D" w:rsidRDefault="0089042F" w:rsidP="006E2C0D">
      <w:pPr>
        <w:pStyle w:val="ListParagraph"/>
        <w:numPr>
          <w:ilvl w:val="0"/>
          <w:numId w:val="27"/>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Изабрани понуђач ће извршити анализу извора и употребе сопствених средстава (капитала) Фонда, укључујући и анализу иницијалног оснивачког капитала и било којих других периодичних капиталних улагања од стране Владе.</w:t>
      </w:r>
    </w:p>
    <w:p w:rsidR="0089042F" w:rsidRPr="006E2C0D" w:rsidRDefault="0089042F" w:rsidP="006E2C0D">
      <w:pPr>
        <w:pStyle w:val="ListParagraph"/>
        <w:numPr>
          <w:ilvl w:val="0"/>
          <w:numId w:val="27"/>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Изабрани понуђач ће спровести свеобухватну процену и оцену капацитета Фонда за процену, администрацију, надзирање и контролу, наплату и решавање бруто кредитних изложености (билансних и ванбилансних). Процена ће обухватити политике кредитирања и одобравања других услуга које пружа Фонд, оквире и методологију за управљање и контролу ризика и интерну контролу и корпоративно управљање, укључујући и</w:t>
      </w:r>
      <w:bookmarkStart w:id="3" w:name="_cp_text_1_48"/>
      <w:r w:rsidRPr="006E2C0D">
        <w:rPr>
          <w:rFonts w:ascii="Times New Roman" w:eastAsia="Droid Sans Fallback" w:hAnsi="Times New Roman" w:cs="Calibri"/>
          <w:bCs/>
          <w:kern w:val="1"/>
          <w:sz w:val="24"/>
          <w:szCs w:val="24"/>
          <w:lang w:val="sr-Cyrl-RS" w:eastAsia="ar-SA"/>
        </w:rPr>
        <w:t>:</w:t>
      </w:r>
      <w:bookmarkEnd w:id="3"/>
    </w:p>
    <w:p w:rsidR="0089042F" w:rsidRPr="006E2C0D" w:rsidRDefault="0089042F" w:rsidP="006E2C0D">
      <w:pPr>
        <w:pStyle w:val="ListParagraph"/>
        <w:numPr>
          <w:ilvl w:val="0"/>
          <w:numId w:val="35"/>
        </w:numPr>
        <w:tabs>
          <w:tab w:val="left" w:pos="63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опис управљачких структура Фонда заједно са биографијама, квалификацијама и релевантним искуством лица задужених за управљање и контролу ризика;</w:t>
      </w:r>
    </w:p>
    <w:p w:rsidR="0089042F" w:rsidRPr="006E2C0D" w:rsidRDefault="0089042F" w:rsidP="006E2C0D">
      <w:pPr>
        <w:pStyle w:val="ListParagraph"/>
        <w:numPr>
          <w:ilvl w:val="0"/>
          <w:numId w:val="35"/>
        </w:numPr>
        <w:tabs>
          <w:tab w:val="left" w:pos="63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опис кредитног</w:t>
      </w:r>
      <w:r w:rsidR="006E2C0D" w:rsidRPr="006E2C0D">
        <w:rPr>
          <w:rFonts w:ascii="Times New Roman" w:eastAsia="Droid Sans Fallback" w:hAnsi="Times New Roman" w:cs="Calibri"/>
          <w:bCs/>
          <w:kern w:val="1"/>
          <w:sz w:val="24"/>
          <w:szCs w:val="24"/>
          <w:lang w:val="sr-Cyrl-RS" w:eastAsia="ar-SA"/>
        </w:rPr>
        <w:t xml:space="preserve"> </w:t>
      </w:r>
      <w:r w:rsidRPr="006E2C0D">
        <w:rPr>
          <w:rFonts w:ascii="Times New Roman" w:eastAsia="Droid Sans Fallback" w:hAnsi="Times New Roman" w:cs="Calibri"/>
          <w:bCs/>
          <w:kern w:val="1"/>
          <w:sz w:val="24"/>
          <w:szCs w:val="24"/>
          <w:lang w:val="sr-Cyrl-RS" w:eastAsia="ar-SA"/>
        </w:rPr>
        <w:t xml:space="preserve">- и процеса пружања других услуга, у посматраном периоду, почев од доступности за сваког циљаног корисника да се обрати Фонду и добије адекватан одговор од тих институција, потом од иницијалног захтева корисника до коначне одлуке о пружању финансијске услуге и </w:t>
      </w:r>
      <w:r w:rsidR="006E2C0D" w:rsidRPr="006E2C0D">
        <w:rPr>
          <w:rFonts w:ascii="Times New Roman" w:eastAsia="Droid Sans Fallback" w:hAnsi="Times New Roman" w:cs="Calibri"/>
          <w:bCs/>
          <w:kern w:val="1"/>
          <w:sz w:val="24"/>
          <w:szCs w:val="24"/>
          <w:lang w:val="sr-Cyrl-RS" w:eastAsia="ar-SA"/>
        </w:rPr>
        <w:t xml:space="preserve">потоњег </w:t>
      </w:r>
      <w:r w:rsidRPr="006E2C0D">
        <w:rPr>
          <w:rFonts w:ascii="Times New Roman" w:eastAsia="Droid Sans Fallback" w:hAnsi="Times New Roman" w:cs="Calibri"/>
          <w:bCs/>
          <w:kern w:val="1"/>
          <w:sz w:val="24"/>
          <w:szCs w:val="24"/>
          <w:lang w:val="sr-Cyrl-RS" w:eastAsia="ar-SA"/>
        </w:rPr>
        <w:t>процеса кредитног праћења;</w:t>
      </w:r>
    </w:p>
    <w:p w:rsidR="0089042F" w:rsidRPr="006E2C0D" w:rsidRDefault="0089042F" w:rsidP="006E2C0D">
      <w:pPr>
        <w:pStyle w:val="ListParagraph"/>
        <w:numPr>
          <w:ilvl w:val="0"/>
          <w:numId w:val="35"/>
        </w:numPr>
        <w:tabs>
          <w:tab w:val="left" w:pos="63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поштовање услова прописаних кредитним / пословним политикама и процедурама, критеријуме пласирања и процес интерне ревизије кредита / осталих финансијских услуга у посматраном периоду, укључујући и посебан акценат на поштовање услова и критеријума квалификованости наведеним у Програму Фонда („Службени гласник </w:t>
      </w:r>
      <w:proofErr w:type="spellStart"/>
      <w:r w:rsidRPr="006E2C0D">
        <w:rPr>
          <w:rFonts w:ascii="Times New Roman" w:eastAsia="Droid Sans Fallback" w:hAnsi="Times New Roman" w:cs="Calibri"/>
          <w:bCs/>
          <w:kern w:val="1"/>
          <w:sz w:val="24"/>
          <w:szCs w:val="24"/>
          <w:lang w:val="sr-Cyrl-RS" w:eastAsia="ar-SA"/>
        </w:rPr>
        <w:lastRenderedPageBreak/>
        <w:t>РС</w:t>
      </w:r>
      <w:r w:rsidR="006E2C0D" w:rsidRPr="006E2C0D">
        <w:rPr>
          <w:rFonts w:ascii="Times New Roman" w:eastAsia="Droid Sans Fallback" w:hAnsi="Times New Roman" w:cs="Times New Roman"/>
          <w:bCs/>
          <w:kern w:val="1"/>
          <w:sz w:val="24"/>
          <w:szCs w:val="24"/>
          <w:lang w:val="sr-Cyrl-RS" w:eastAsia="ar-SA"/>
        </w:rPr>
        <w:t>ˮ</w:t>
      </w:r>
      <w:proofErr w:type="spellEnd"/>
      <w:r w:rsidRPr="006E2C0D">
        <w:rPr>
          <w:rFonts w:ascii="Times New Roman" w:eastAsia="Droid Sans Fallback" w:hAnsi="Times New Roman" w:cs="Calibri"/>
          <w:bCs/>
          <w:kern w:val="1"/>
          <w:sz w:val="24"/>
          <w:szCs w:val="24"/>
          <w:lang w:val="sr-Cyrl-RS" w:eastAsia="ar-SA"/>
        </w:rPr>
        <w:t>, бр. 15/18 – у даљем тексту: Програм), као и у осталим релевантним одлукама и процедурама (у даљем тексту: Одлуке и процедуре);</w:t>
      </w:r>
    </w:p>
    <w:p w:rsidR="0089042F" w:rsidRPr="006E2C0D" w:rsidRDefault="0089042F" w:rsidP="006E2C0D">
      <w:pPr>
        <w:pStyle w:val="ListParagraph"/>
        <w:numPr>
          <w:ilvl w:val="0"/>
          <w:numId w:val="35"/>
        </w:numPr>
        <w:tabs>
          <w:tab w:val="left" w:pos="63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организацију процеса одобравања кредита/других финансијских услуга, расподелу улога и одговорности по функционалним јединицама и нивоима менаџмента, као и квалитет и квантитет релевантних запослених;</w:t>
      </w:r>
    </w:p>
    <w:p w:rsidR="0089042F" w:rsidRPr="006E2C0D" w:rsidRDefault="0089042F" w:rsidP="006E2C0D">
      <w:pPr>
        <w:pStyle w:val="ListParagraph"/>
        <w:numPr>
          <w:ilvl w:val="0"/>
          <w:numId w:val="35"/>
        </w:numPr>
        <w:tabs>
          <w:tab w:val="left" w:pos="63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финансијске податке добијене од корисника кредита/осталих финансијских услуга и анализа истих од стране Фонда, као основа, како за иницијалне одлуке о одобрењу кредита/других финансијских услуга, тако и за периодичну процену актуелних и потенцијалних измена кредитних профила корисника тих услуга;</w:t>
      </w:r>
    </w:p>
    <w:p w:rsidR="0089042F" w:rsidRPr="006E2C0D" w:rsidRDefault="0089042F" w:rsidP="006E2C0D">
      <w:pPr>
        <w:pStyle w:val="ListParagraph"/>
        <w:numPr>
          <w:ilvl w:val="0"/>
          <w:numId w:val="35"/>
        </w:numPr>
        <w:tabs>
          <w:tab w:val="left" w:pos="630"/>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политике, методологије и процедуре за управљање и контролу кредитних ризика, укључујући и расподелу дужности, квалитет и квантитет релевантних запослених и свеобухватност повезаних података за менаџмент;</w:t>
      </w:r>
    </w:p>
    <w:p w:rsidR="0089042F" w:rsidRPr="006E2C0D" w:rsidRDefault="0089042F" w:rsidP="006E2C0D">
      <w:pPr>
        <w:pStyle w:val="ListParagraph"/>
        <w:numPr>
          <w:ilvl w:val="0"/>
          <w:numId w:val="35"/>
        </w:numPr>
        <w:tabs>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политике, методологије и процедуре за процену вредности и управљање средствима обезбеђења, укључујући и редовност </w:t>
      </w:r>
      <w:proofErr w:type="spellStart"/>
      <w:r w:rsidRPr="006E2C0D">
        <w:rPr>
          <w:rFonts w:ascii="Times New Roman" w:eastAsia="Droid Sans Fallback" w:hAnsi="Times New Roman" w:cs="Calibri"/>
          <w:bCs/>
          <w:kern w:val="1"/>
          <w:sz w:val="24"/>
          <w:szCs w:val="24"/>
          <w:lang w:val="sr-Cyrl-RS" w:eastAsia="ar-SA"/>
        </w:rPr>
        <w:t>реевалуација</w:t>
      </w:r>
      <w:proofErr w:type="spellEnd"/>
      <w:r w:rsidRPr="006E2C0D">
        <w:rPr>
          <w:rFonts w:ascii="Times New Roman" w:eastAsia="Droid Sans Fallback" w:hAnsi="Times New Roman" w:cs="Calibri"/>
          <w:bCs/>
          <w:kern w:val="1"/>
          <w:sz w:val="24"/>
          <w:szCs w:val="24"/>
          <w:lang w:val="sr-Cyrl-RS" w:eastAsia="ar-SA"/>
        </w:rPr>
        <w:t>, канале продаје, процене потребног времена за продају средства обезбеђења и повезаних трошкова, као и критеријуме за избор проценитеља и механизме за намирење из средстава обезбеђења;</w:t>
      </w:r>
    </w:p>
    <w:p w:rsidR="0089042F" w:rsidRPr="006E2C0D" w:rsidRDefault="0089042F" w:rsidP="006E2C0D">
      <w:pPr>
        <w:pStyle w:val="ListParagraph"/>
        <w:numPr>
          <w:ilvl w:val="0"/>
          <w:numId w:val="35"/>
        </w:numPr>
        <w:tabs>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способност Фонда да управља и наплаћују проблематичне кредите/друге пласмане, укључујући и организациону структуру специјализованих јединица за решавање проблематичних изложености (уколико постоје) и процесе, алат</w:t>
      </w:r>
      <w:bookmarkStart w:id="4" w:name="_GoBack"/>
      <w:bookmarkEnd w:id="4"/>
      <w:r w:rsidRPr="006E2C0D">
        <w:rPr>
          <w:rFonts w:ascii="Times New Roman" w:eastAsia="Droid Sans Fallback" w:hAnsi="Times New Roman" w:cs="Calibri"/>
          <w:bCs/>
          <w:kern w:val="1"/>
          <w:sz w:val="24"/>
          <w:szCs w:val="24"/>
          <w:lang w:val="sr-Cyrl-RS" w:eastAsia="ar-SA"/>
        </w:rPr>
        <w:t xml:space="preserve"> и средства, податке за менаџмент и стратегије, политике и методологије за решавање проблематичних изложености; и </w:t>
      </w:r>
    </w:p>
    <w:p w:rsidR="0089042F" w:rsidRPr="006E2C0D" w:rsidRDefault="0089042F" w:rsidP="006E2C0D">
      <w:pPr>
        <w:pStyle w:val="ListParagraph"/>
        <w:numPr>
          <w:ilvl w:val="0"/>
          <w:numId w:val="35"/>
        </w:numPr>
        <w:tabs>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технике и приступе коришћене приликом реструктурирања проблематичних изложености и идентификације потенцијалних кредитних ризика у процесу реструктурирања, са нагласком на квалитет и дубину интерних анализа спроведених у циљу процене дужникових капацитета за отплату након реструктурирања.</w:t>
      </w:r>
    </w:p>
    <w:p w:rsidR="0089042F" w:rsidRPr="006E2C0D" w:rsidRDefault="00AF7A11" w:rsidP="006E2C0D">
      <w:pPr>
        <w:pStyle w:val="ListParagraph"/>
        <w:numPr>
          <w:ilvl w:val="0"/>
          <w:numId w:val="27"/>
        </w:numPr>
        <w:tabs>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 </w:t>
      </w:r>
      <w:r w:rsidR="0089042F" w:rsidRPr="006E2C0D">
        <w:rPr>
          <w:rFonts w:ascii="Times New Roman" w:eastAsia="Droid Sans Fallback" w:hAnsi="Times New Roman" w:cs="Calibri"/>
          <w:bCs/>
          <w:kern w:val="1"/>
          <w:sz w:val="24"/>
          <w:szCs w:val="24"/>
          <w:lang w:val="sr-Cyrl-RS" w:eastAsia="ar-SA"/>
        </w:rPr>
        <w:t>Изабрани понуђач ће извршити, за посматрани период, преглед политика, методологија и процедура Фонда, како би установио правилно тумачења и примену Стандарда извештавања, као и континуирано поштовање осталих релевантних норми, укључујући и модалитете Програма Фонда. Овај преглед ће минимално обухватити:</w:t>
      </w:r>
    </w:p>
    <w:p w:rsidR="0089042F" w:rsidRPr="006E2C0D" w:rsidRDefault="0089042F" w:rsidP="006E2C0D">
      <w:pPr>
        <w:pStyle w:val="ListParagraph"/>
        <w:numPr>
          <w:ilvl w:val="0"/>
          <w:numId w:val="28"/>
        </w:numPr>
        <w:tabs>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политике и методологију за идентификацију и управљање проблематичним изложеностима;</w:t>
      </w:r>
    </w:p>
    <w:p w:rsidR="0089042F" w:rsidRPr="006E2C0D" w:rsidRDefault="0089042F" w:rsidP="006E2C0D">
      <w:pPr>
        <w:pStyle w:val="ListParagraph"/>
        <w:numPr>
          <w:ilvl w:val="0"/>
          <w:numId w:val="28"/>
        </w:numPr>
        <w:tabs>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политике и методологију за идентификацију и одговарајуће рачуноводствено евидентирање </w:t>
      </w:r>
      <w:proofErr w:type="spellStart"/>
      <w:r w:rsidR="006E2C0D" w:rsidRPr="006E2C0D">
        <w:rPr>
          <w:rFonts w:ascii="Times New Roman" w:eastAsia="Droid Sans Fallback" w:hAnsi="Times New Roman" w:cs="Calibri"/>
          <w:bCs/>
          <w:kern w:val="1"/>
          <w:sz w:val="24"/>
          <w:szCs w:val="24"/>
          <w:lang w:val="sr-Cyrl-RS" w:eastAsia="ar-SA"/>
        </w:rPr>
        <w:t>реструктурираних</w:t>
      </w:r>
      <w:proofErr w:type="spellEnd"/>
      <w:r w:rsidRPr="006E2C0D">
        <w:rPr>
          <w:rFonts w:ascii="Times New Roman" w:eastAsia="Droid Sans Fallback" w:hAnsi="Times New Roman" w:cs="Calibri"/>
          <w:bCs/>
          <w:kern w:val="1"/>
          <w:sz w:val="24"/>
          <w:szCs w:val="24"/>
          <w:lang w:val="sr-Cyrl-RS" w:eastAsia="ar-SA"/>
        </w:rPr>
        <w:t xml:space="preserve"> изложености;</w:t>
      </w:r>
    </w:p>
    <w:p w:rsidR="0089042F" w:rsidRPr="006E2C0D" w:rsidRDefault="0089042F" w:rsidP="006E2C0D">
      <w:pPr>
        <w:pStyle w:val="ListParagraph"/>
        <w:numPr>
          <w:ilvl w:val="0"/>
          <w:numId w:val="28"/>
        </w:numPr>
        <w:tabs>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прагове за исправку вредности и резервисање за сваки релевантни сегмент портфолија; политике, методологију и праксе за надзирање стања дужника, за отпис потраживања и за укидање исправки вредности, резерви и резервисања (у зависности од случаја);</w:t>
      </w:r>
    </w:p>
    <w:p w:rsidR="0089042F" w:rsidRPr="006E2C0D" w:rsidRDefault="0089042F" w:rsidP="006E2C0D">
      <w:pPr>
        <w:pStyle w:val="ListParagraph"/>
        <w:numPr>
          <w:ilvl w:val="0"/>
          <w:numId w:val="28"/>
        </w:numPr>
        <w:tabs>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методологију и капацитет за стварање консолидованих података на нивоу дужника, укључујући и идентификацију група повезаних лица у којима је један клијент подложан директној или индиректној контроли од стране другог и/или где постоји материјална економска зависност између клијената; приступ за разматрање веза створених обезбеђивањем више потраживања једним средством обезбеђења; и методологију за идентификацију коначног зајмопримца и његове матичне државе;</w:t>
      </w:r>
    </w:p>
    <w:p w:rsidR="0089042F" w:rsidRPr="006E2C0D" w:rsidRDefault="0089042F" w:rsidP="006E2C0D">
      <w:pPr>
        <w:pStyle w:val="ListParagraph"/>
        <w:numPr>
          <w:ilvl w:val="0"/>
          <w:numId w:val="28"/>
        </w:numPr>
        <w:tabs>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политике, методологије и процедуре за признавање прихода од исправљених и </w:t>
      </w:r>
      <w:proofErr w:type="spellStart"/>
      <w:r w:rsidR="006E2C0D" w:rsidRPr="006E2C0D">
        <w:rPr>
          <w:rFonts w:ascii="Times New Roman" w:eastAsia="Droid Sans Fallback" w:hAnsi="Times New Roman" w:cs="Calibri"/>
          <w:bCs/>
          <w:kern w:val="1"/>
          <w:sz w:val="24"/>
          <w:szCs w:val="24"/>
          <w:lang w:val="sr-Cyrl-RS" w:eastAsia="ar-SA"/>
        </w:rPr>
        <w:t>реструктурираних</w:t>
      </w:r>
      <w:proofErr w:type="spellEnd"/>
      <w:r w:rsidRPr="006E2C0D">
        <w:rPr>
          <w:rFonts w:ascii="Times New Roman" w:eastAsia="Droid Sans Fallback" w:hAnsi="Times New Roman" w:cs="Calibri"/>
          <w:bCs/>
          <w:kern w:val="1"/>
          <w:sz w:val="24"/>
          <w:szCs w:val="24"/>
          <w:lang w:val="sr-Cyrl-RS" w:eastAsia="ar-SA"/>
        </w:rPr>
        <w:t xml:space="preserve"> изложености; и</w:t>
      </w:r>
    </w:p>
    <w:p w:rsidR="0089042F" w:rsidRPr="006E2C0D" w:rsidRDefault="0089042F" w:rsidP="006E2C0D">
      <w:pPr>
        <w:pStyle w:val="ListParagraph"/>
        <w:numPr>
          <w:ilvl w:val="0"/>
          <w:numId w:val="28"/>
        </w:numPr>
        <w:tabs>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lastRenderedPageBreak/>
        <w:t>политике, методологије и процедуре за управљање и контролу ризика, организационе структуре и механизми управљања примењени од стране Фонда у циљу управљања и контроле ризика каматних стопа, девизних курсева, ликвидности и финансирања, као и оперативних ризика.</w:t>
      </w:r>
    </w:p>
    <w:p w:rsidR="0089042F" w:rsidRPr="006E2C0D" w:rsidRDefault="0089042F" w:rsidP="006E2C0D">
      <w:pPr>
        <w:pStyle w:val="ListParagraph"/>
        <w:numPr>
          <w:ilvl w:val="0"/>
          <w:numId w:val="27"/>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Изабрани понуђач ће доставити преглед управљачких структура финансијског управљања и главних интерних контрола Фонда. Од Изабраног понуђача се очекује да идентификује потенцијалне слабости, у поређењу са најбољом међународном праксом, и пружи препоруке за даље унапређење.</w:t>
      </w:r>
    </w:p>
    <w:p w:rsidR="0089042F" w:rsidRPr="006E2C0D" w:rsidRDefault="0089042F" w:rsidP="006E2C0D">
      <w:pPr>
        <w:pStyle w:val="ListParagraph"/>
        <w:numPr>
          <w:ilvl w:val="0"/>
          <w:numId w:val="27"/>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Изабрани понуђач ће извршити преглед функционалности и безбедности ИТ система Фонда са посебним нагласком на интегритет, прецизност и правовременост пружања података везаних за кредитне/финансијске операције и процену вредности и управљања средствима обезбеђења.</w:t>
      </w:r>
    </w:p>
    <w:p w:rsidR="001B670C" w:rsidRPr="006E2C0D" w:rsidRDefault="001B670C" w:rsidP="006E2C0D">
      <w:pPr>
        <w:tabs>
          <w:tab w:val="left" w:pos="900"/>
        </w:tabs>
        <w:spacing w:after="0" w:line="240" w:lineRule="auto"/>
        <w:ind w:firstLine="1134"/>
        <w:jc w:val="both"/>
        <w:rPr>
          <w:rFonts w:ascii="Times New Roman" w:eastAsia="Droid Sans Fallback" w:hAnsi="Times New Roman" w:cs="Calibri"/>
          <w:bCs/>
          <w:kern w:val="1"/>
          <w:sz w:val="24"/>
          <w:szCs w:val="24"/>
          <w:lang w:val="sr-Cyrl-RS" w:eastAsia="ar-SA"/>
        </w:rPr>
      </w:pPr>
    </w:p>
    <w:p w:rsidR="0089042F" w:rsidRPr="006E2C0D" w:rsidRDefault="0089042F" w:rsidP="006E2C0D">
      <w:pPr>
        <w:ind w:firstLine="1134"/>
        <w:contextualSpacing/>
        <w:jc w:val="both"/>
        <w:rPr>
          <w:rFonts w:ascii="Times New Roman" w:eastAsia="Droid Sans Fallback" w:hAnsi="Times New Roman" w:cs="Calibri"/>
          <w:b/>
          <w:bCs/>
          <w:kern w:val="1"/>
          <w:sz w:val="24"/>
          <w:szCs w:val="24"/>
          <w:lang w:val="sr-Cyrl-RS" w:eastAsia="ar-SA"/>
        </w:rPr>
      </w:pPr>
      <w:r w:rsidRPr="006E2C0D">
        <w:rPr>
          <w:rFonts w:ascii="Times New Roman" w:eastAsia="Droid Sans Fallback" w:hAnsi="Times New Roman" w:cs="Calibri"/>
          <w:b/>
          <w:bCs/>
          <w:kern w:val="1"/>
          <w:sz w:val="24"/>
          <w:szCs w:val="24"/>
          <w:lang w:val="sr-Cyrl-RS" w:eastAsia="ar-SA"/>
        </w:rPr>
        <w:t>B. Преглед Кредитних досијеа</w:t>
      </w:r>
    </w:p>
    <w:p w:rsidR="0089042F" w:rsidRPr="006E2C0D" w:rsidRDefault="0089042F" w:rsidP="006E2C0D">
      <w:pPr>
        <w:pStyle w:val="ListParagraph"/>
        <w:numPr>
          <w:ilvl w:val="0"/>
          <w:numId w:val="29"/>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Изабрани понуђач ће припремити детаљне извештаје о карактеристикама кредитних портфолија Фонда, као и Кредитних досијеа, разграничене по величини клијената (у складу са класификацијом утврђеном у Закону о рачуноводству) и коментарима изведеним на основу поређења са основном мисијом Фонда, типовима производа, примењеној методологији праћења степена ризичности изложености (нпр. добри, под надзором, проблематични), индустрији и географској локацији, укључујући и детаљне податке о структури изложености под надзором и проблематичних, као и о изложеностима обезбеђеним гаранцијама трећих лица (укључујући гаранције пружене од стране банака у стечају, уколико постоје). </w:t>
      </w:r>
    </w:p>
    <w:p w:rsidR="0089042F" w:rsidRPr="006E2C0D" w:rsidRDefault="0089042F" w:rsidP="006E2C0D">
      <w:pPr>
        <w:pStyle w:val="ListParagraph"/>
        <w:numPr>
          <w:ilvl w:val="0"/>
          <w:numId w:val="29"/>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 Посебан нагласак треба ставити на преглед и анализу квалитета одобрених изложености кроз Програм финансијске подршке привредним субјектима за одржавање ликвидности и обртна средства у отежаним економским условима изазваним </w:t>
      </w:r>
      <w:proofErr w:type="spellStart"/>
      <w:r w:rsidRPr="006E2C0D">
        <w:rPr>
          <w:rFonts w:ascii="Times New Roman" w:eastAsia="Droid Sans Fallback" w:hAnsi="Times New Roman" w:cs="Calibri"/>
          <w:bCs/>
          <w:kern w:val="1"/>
          <w:sz w:val="24"/>
          <w:szCs w:val="24"/>
          <w:lang w:val="sr-Cyrl-RS" w:eastAsia="ar-SA"/>
        </w:rPr>
        <w:t>пандемијом</w:t>
      </w:r>
      <w:proofErr w:type="spellEnd"/>
      <w:r w:rsidRPr="006E2C0D">
        <w:rPr>
          <w:rFonts w:ascii="Times New Roman" w:eastAsia="Droid Sans Fallback" w:hAnsi="Times New Roman" w:cs="Calibri"/>
          <w:bCs/>
          <w:kern w:val="1"/>
          <w:sz w:val="24"/>
          <w:szCs w:val="24"/>
          <w:lang w:val="sr-Cyrl-RS" w:eastAsia="ar-SA"/>
        </w:rPr>
        <w:t xml:space="preserve"> COVID – 19 и изложености према правним лицима у државном власништву.</w:t>
      </w:r>
    </w:p>
    <w:p w:rsidR="0089042F" w:rsidRPr="006E2C0D" w:rsidRDefault="0089042F" w:rsidP="006E2C0D">
      <w:pPr>
        <w:pStyle w:val="ListParagraph"/>
        <w:numPr>
          <w:ilvl w:val="0"/>
          <w:numId w:val="29"/>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Изабрани понуђач ће извршити процену квалитета Ризичне Активе Фонда на Референтни датум, обухватајући бруто и нето билансне и ванбилансне позиције. Прецизније, од Изабраног понуђача се очекује да:</w:t>
      </w:r>
    </w:p>
    <w:p w:rsidR="0089042F" w:rsidRPr="006E2C0D" w:rsidRDefault="0089042F" w:rsidP="006E2C0D">
      <w:pPr>
        <w:pStyle w:val="ListParagraph"/>
        <w:numPr>
          <w:ilvl w:val="0"/>
          <w:numId w:val="30"/>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изврши преглед класификације Ризичне Активе и израчуна било које недостајуће износе за адекватне исправке вредности, резервисања и остале резерве за губитке;</w:t>
      </w:r>
    </w:p>
    <w:p w:rsidR="0089042F" w:rsidRPr="006E2C0D" w:rsidRDefault="0089042F" w:rsidP="006E2C0D">
      <w:pPr>
        <w:pStyle w:val="ListParagraph"/>
        <w:numPr>
          <w:ilvl w:val="0"/>
          <w:numId w:val="30"/>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изврши преглед нивоа и структуре </w:t>
      </w:r>
      <w:proofErr w:type="spellStart"/>
      <w:r w:rsidRPr="006E2C0D">
        <w:rPr>
          <w:rFonts w:ascii="Times New Roman" w:eastAsia="Droid Sans Fallback" w:hAnsi="Times New Roman" w:cs="Calibri"/>
          <w:bCs/>
          <w:kern w:val="1"/>
          <w:sz w:val="24"/>
          <w:szCs w:val="24"/>
          <w:lang w:val="sr-Cyrl-RS" w:eastAsia="ar-SA"/>
        </w:rPr>
        <w:t>неразграничених</w:t>
      </w:r>
      <w:proofErr w:type="spellEnd"/>
      <w:r w:rsidRPr="006E2C0D">
        <w:rPr>
          <w:rFonts w:ascii="Times New Roman" w:eastAsia="Droid Sans Fallback" w:hAnsi="Times New Roman" w:cs="Calibri"/>
          <w:bCs/>
          <w:kern w:val="1"/>
          <w:sz w:val="24"/>
          <w:szCs w:val="24"/>
          <w:lang w:val="sr-Cyrl-RS" w:eastAsia="ar-SA"/>
        </w:rPr>
        <w:t xml:space="preserve">, проблематичних, </w:t>
      </w:r>
      <w:proofErr w:type="spellStart"/>
      <w:r w:rsidRPr="006E2C0D">
        <w:rPr>
          <w:rFonts w:ascii="Times New Roman" w:eastAsia="Droid Sans Fallback" w:hAnsi="Times New Roman" w:cs="Calibri"/>
          <w:bCs/>
          <w:kern w:val="1"/>
          <w:sz w:val="24"/>
          <w:szCs w:val="24"/>
          <w:lang w:val="sr-Cyrl-RS" w:eastAsia="ar-SA"/>
        </w:rPr>
        <w:t>реструктурираних</w:t>
      </w:r>
      <w:proofErr w:type="spellEnd"/>
      <w:r w:rsidRPr="006E2C0D">
        <w:rPr>
          <w:rFonts w:ascii="Times New Roman" w:eastAsia="Droid Sans Fallback" w:hAnsi="Times New Roman" w:cs="Calibri"/>
          <w:bCs/>
          <w:kern w:val="1"/>
          <w:sz w:val="24"/>
          <w:szCs w:val="24"/>
          <w:lang w:val="sr-Cyrl-RS" w:eastAsia="ar-SA"/>
        </w:rPr>
        <w:t xml:space="preserve">, </w:t>
      </w:r>
      <w:proofErr w:type="spellStart"/>
      <w:r w:rsidRPr="006E2C0D">
        <w:rPr>
          <w:rFonts w:ascii="Times New Roman" w:eastAsia="Droid Sans Fallback" w:hAnsi="Times New Roman" w:cs="Calibri"/>
          <w:bCs/>
          <w:kern w:val="1"/>
          <w:sz w:val="24"/>
          <w:szCs w:val="24"/>
          <w:lang w:val="sr-Cyrl-RS" w:eastAsia="ar-SA"/>
        </w:rPr>
        <w:t>испреговараних</w:t>
      </w:r>
      <w:proofErr w:type="spellEnd"/>
      <w:r w:rsidRPr="006E2C0D">
        <w:rPr>
          <w:rFonts w:ascii="Times New Roman" w:eastAsia="Droid Sans Fallback" w:hAnsi="Times New Roman" w:cs="Calibri"/>
          <w:bCs/>
          <w:kern w:val="1"/>
          <w:sz w:val="24"/>
          <w:szCs w:val="24"/>
          <w:lang w:val="sr-Cyrl-RS" w:eastAsia="ar-SA"/>
        </w:rPr>
        <w:t xml:space="preserve">, </w:t>
      </w:r>
      <w:proofErr w:type="spellStart"/>
      <w:r w:rsidRPr="006E2C0D">
        <w:rPr>
          <w:rFonts w:ascii="Times New Roman" w:eastAsia="Droid Sans Fallback" w:hAnsi="Times New Roman" w:cs="Calibri"/>
          <w:bCs/>
          <w:kern w:val="1"/>
          <w:sz w:val="24"/>
          <w:szCs w:val="24"/>
          <w:lang w:val="sr-Cyrl-RS" w:eastAsia="ar-SA"/>
        </w:rPr>
        <w:t>зановљених</w:t>
      </w:r>
      <w:proofErr w:type="spellEnd"/>
      <w:r w:rsidRPr="006E2C0D">
        <w:rPr>
          <w:rFonts w:ascii="Times New Roman" w:eastAsia="Droid Sans Fallback" w:hAnsi="Times New Roman" w:cs="Calibri"/>
          <w:bCs/>
          <w:kern w:val="1"/>
          <w:sz w:val="24"/>
          <w:szCs w:val="24"/>
          <w:lang w:val="sr-Cyrl-RS" w:eastAsia="ar-SA"/>
        </w:rPr>
        <w:t>, продужених или на било који други начин репрограмираних изложености, са посебним нагласком на „техничка продужења“</w:t>
      </w:r>
      <w:bookmarkStart w:id="5" w:name="_cp_text_28_70"/>
      <w:bookmarkStart w:id="6" w:name="_cp_text_1_72"/>
      <w:r w:rsidRPr="006E2C0D">
        <w:rPr>
          <w:rFonts w:ascii="Times New Roman" w:eastAsia="Droid Sans Fallback" w:hAnsi="Times New Roman" w:cs="Calibri"/>
          <w:bCs/>
          <w:kern w:val="1"/>
          <w:sz w:val="24"/>
          <w:szCs w:val="24"/>
          <w:lang w:val="sr-Cyrl-RS" w:eastAsia="ar-SA"/>
        </w:rPr>
        <w:footnoteReference w:id="1"/>
      </w:r>
      <w:r w:rsidRPr="006E2C0D">
        <w:rPr>
          <w:rFonts w:ascii="Times New Roman" w:eastAsia="Droid Sans Fallback" w:hAnsi="Times New Roman" w:cs="Calibri"/>
          <w:bCs/>
          <w:kern w:val="1"/>
          <w:sz w:val="24"/>
          <w:szCs w:val="24"/>
          <w:lang w:val="sr-Cyrl-RS" w:eastAsia="ar-SA"/>
        </w:rPr>
        <w:t xml:space="preserve"> </w:t>
      </w:r>
      <w:bookmarkEnd w:id="5"/>
      <w:r w:rsidRPr="006E2C0D">
        <w:rPr>
          <w:rFonts w:ascii="Times New Roman" w:eastAsia="Droid Sans Fallback" w:hAnsi="Times New Roman" w:cs="Calibri"/>
          <w:bCs/>
          <w:kern w:val="1"/>
          <w:sz w:val="24"/>
          <w:szCs w:val="24"/>
          <w:lang w:val="sr-Cyrl-RS" w:eastAsia="ar-SA"/>
        </w:rPr>
        <w:t xml:space="preserve">и нарочито на такве послове извршене кроз Програм финансијске подршке привредним субјектима за одржавање ликвидности и обртна средства у отежаним економским условима изазваним </w:t>
      </w:r>
      <w:proofErr w:type="spellStart"/>
      <w:r w:rsidRPr="006E2C0D">
        <w:rPr>
          <w:rFonts w:ascii="Times New Roman" w:eastAsia="Droid Sans Fallback" w:hAnsi="Times New Roman" w:cs="Calibri"/>
          <w:bCs/>
          <w:kern w:val="1"/>
          <w:sz w:val="24"/>
          <w:szCs w:val="24"/>
          <w:lang w:val="sr-Cyrl-RS" w:eastAsia="ar-SA"/>
        </w:rPr>
        <w:t>пандемијом</w:t>
      </w:r>
      <w:proofErr w:type="spellEnd"/>
      <w:r w:rsidRPr="006E2C0D">
        <w:rPr>
          <w:rFonts w:ascii="Times New Roman" w:eastAsia="Droid Sans Fallback" w:hAnsi="Times New Roman" w:cs="Calibri"/>
          <w:bCs/>
          <w:kern w:val="1"/>
          <w:sz w:val="24"/>
          <w:szCs w:val="24"/>
          <w:lang w:val="sr-Cyrl-RS" w:eastAsia="ar-SA"/>
        </w:rPr>
        <w:t xml:space="preserve"> COVID – 19, изложености према правним лицима у државном власништву и банкама у стечају (тј. </w:t>
      </w:r>
      <w:proofErr w:type="spellStart"/>
      <w:r w:rsidRPr="006E2C0D">
        <w:rPr>
          <w:rFonts w:ascii="Times New Roman" w:eastAsia="Droid Sans Fallback" w:hAnsi="Times New Roman" w:cs="Calibri"/>
          <w:bCs/>
          <w:kern w:val="1"/>
          <w:sz w:val="24"/>
          <w:szCs w:val="24"/>
          <w:lang w:val="sr-Cyrl-RS" w:eastAsia="ar-SA"/>
        </w:rPr>
        <w:t>Агробанком</w:t>
      </w:r>
      <w:proofErr w:type="spellEnd"/>
      <w:r w:rsidRPr="006E2C0D">
        <w:rPr>
          <w:rFonts w:ascii="Times New Roman" w:eastAsia="Droid Sans Fallback" w:hAnsi="Times New Roman" w:cs="Calibri"/>
          <w:bCs/>
          <w:kern w:val="1"/>
          <w:sz w:val="24"/>
          <w:szCs w:val="24"/>
          <w:lang w:val="sr-Cyrl-RS" w:eastAsia="ar-SA"/>
        </w:rPr>
        <w:t xml:space="preserve">, Новом </w:t>
      </w:r>
      <w:proofErr w:type="spellStart"/>
      <w:r w:rsidRPr="006E2C0D">
        <w:rPr>
          <w:rFonts w:ascii="Times New Roman" w:eastAsia="Droid Sans Fallback" w:hAnsi="Times New Roman" w:cs="Calibri"/>
          <w:bCs/>
          <w:kern w:val="1"/>
          <w:sz w:val="24"/>
          <w:szCs w:val="24"/>
          <w:lang w:val="sr-Cyrl-RS" w:eastAsia="ar-SA"/>
        </w:rPr>
        <w:t>Агробанком</w:t>
      </w:r>
      <w:proofErr w:type="spellEnd"/>
      <w:r w:rsidRPr="006E2C0D">
        <w:rPr>
          <w:rFonts w:ascii="Times New Roman" w:eastAsia="Droid Sans Fallback" w:hAnsi="Times New Roman" w:cs="Calibri"/>
          <w:bCs/>
          <w:kern w:val="1"/>
          <w:sz w:val="24"/>
          <w:szCs w:val="24"/>
          <w:lang w:val="sr-Cyrl-RS" w:eastAsia="ar-SA"/>
        </w:rPr>
        <w:t xml:space="preserve">, Привредном банком Београд, Развојном банком Војводине и </w:t>
      </w:r>
      <w:proofErr w:type="spellStart"/>
      <w:r w:rsidRPr="006E2C0D">
        <w:rPr>
          <w:rFonts w:ascii="Times New Roman" w:eastAsia="Droid Sans Fallback" w:hAnsi="Times New Roman" w:cs="Calibri"/>
          <w:bCs/>
          <w:kern w:val="1"/>
          <w:sz w:val="24"/>
          <w:szCs w:val="24"/>
          <w:lang w:val="sr-Cyrl-RS" w:eastAsia="ar-SA"/>
        </w:rPr>
        <w:t>Универзал</w:t>
      </w:r>
      <w:proofErr w:type="spellEnd"/>
      <w:r w:rsidRPr="006E2C0D">
        <w:rPr>
          <w:rFonts w:ascii="Times New Roman" w:eastAsia="Droid Sans Fallback" w:hAnsi="Times New Roman" w:cs="Calibri"/>
          <w:bCs/>
          <w:kern w:val="1"/>
          <w:sz w:val="24"/>
          <w:szCs w:val="24"/>
          <w:lang w:val="sr-Cyrl-RS" w:eastAsia="ar-SA"/>
        </w:rPr>
        <w:t xml:space="preserve"> банком) и / или другим државним небанкарским финансијским институцијама;</w:t>
      </w:r>
    </w:p>
    <w:bookmarkEnd w:id="6"/>
    <w:p w:rsidR="0089042F" w:rsidRPr="006E2C0D" w:rsidRDefault="0089042F" w:rsidP="006E2C0D">
      <w:pPr>
        <w:pStyle w:val="ListParagraph"/>
        <w:numPr>
          <w:ilvl w:val="0"/>
          <w:numId w:val="30"/>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изврши детаљан преглед узорка Кредитних досијеа (као што је наведено у тачки 6); и </w:t>
      </w:r>
    </w:p>
    <w:p w:rsidR="0089042F" w:rsidRPr="006E2C0D" w:rsidRDefault="0089042F" w:rsidP="006E2C0D">
      <w:pPr>
        <w:pStyle w:val="ListParagraph"/>
        <w:numPr>
          <w:ilvl w:val="0"/>
          <w:numId w:val="30"/>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lastRenderedPageBreak/>
        <w:t xml:space="preserve">израчуна приход (од камата и накнада) који не би требало да буде признат, уз вршење одговарајућих примењивих исправки вредности релевантних билансних позиција. </w:t>
      </w:r>
    </w:p>
    <w:p w:rsidR="0089042F" w:rsidRPr="006E2C0D" w:rsidRDefault="0089042F" w:rsidP="006E2C0D">
      <w:pPr>
        <w:pStyle w:val="ListParagraph"/>
        <w:numPr>
          <w:ilvl w:val="0"/>
          <w:numId w:val="29"/>
        </w:numPr>
        <w:tabs>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Изабрани понуђач ће прегледати не мање од 75 процената свих билансних и ванбилансних бруто и нето изложености, којом приликом минимум по 50 највећих добрих изложености, изложености под надзором и проблематичних изложености, а изложености према повезаним дужницима које премашују пет процената капитала Фонда биће подложне индивидуалним, тј. посебним анализама. Очекивање је да све изложености одобрене кроз Програм финансијске подршке привредним субјектима за одржавање ликвидности и обртна средства у отежаним економским условима изазваним </w:t>
      </w:r>
      <w:proofErr w:type="spellStart"/>
      <w:r w:rsidRPr="006E2C0D">
        <w:rPr>
          <w:rFonts w:ascii="Times New Roman" w:eastAsia="Droid Sans Fallback" w:hAnsi="Times New Roman" w:cs="Calibri"/>
          <w:bCs/>
          <w:kern w:val="1"/>
          <w:sz w:val="24"/>
          <w:szCs w:val="24"/>
          <w:lang w:val="sr-Cyrl-RS" w:eastAsia="ar-SA"/>
        </w:rPr>
        <w:t>пандемијом</w:t>
      </w:r>
      <w:proofErr w:type="spellEnd"/>
      <w:r w:rsidRPr="006E2C0D">
        <w:rPr>
          <w:rFonts w:ascii="Times New Roman" w:eastAsia="Droid Sans Fallback" w:hAnsi="Times New Roman" w:cs="Calibri"/>
          <w:bCs/>
          <w:kern w:val="1"/>
          <w:sz w:val="24"/>
          <w:szCs w:val="24"/>
          <w:lang w:val="sr-Cyrl-RS" w:eastAsia="ar-SA"/>
        </w:rPr>
        <w:t xml:space="preserve"> COVID – 19 и изложености према правним лицима у државном власништву буду прегледане. Остале изложености би требало да формирају популацију за статистички значајан узорак који ће бити прегледан применом техника </w:t>
      </w:r>
      <w:proofErr w:type="spellStart"/>
      <w:r w:rsidRPr="006E2C0D">
        <w:rPr>
          <w:rFonts w:ascii="Times New Roman" w:eastAsia="Droid Sans Fallback" w:hAnsi="Times New Roman" w:cs="Calibri"/>
          <w:bCs/>
          <w:kern w:val="1"/>
          <w:sz w:val="24"/>
          <w:szCs w:val="24"/>
          <w:lang w:val="sr-Cyrl-RS" w:eastAsia="ar-SA"/>
        </w:rPr>
        <w:t>узорковања</w:t>
      </w:r>
      <w:proofErr w:type="spellEnd"/>
      <w:r w:rsidRPr="006E2C0D">
        <w:rPr>
          <w:rFonts w:ascii="Times New Roman" w:eastAsia="Droid Sans Fallback" w:hAnsi="Times New Roman" w:cs="Calibri"/>
          <w:bCs/>
          <w:kern w:val="1"/>
          <w:sz w:val="24"/>
          <w:szCs w:val="24"/>
          <w:lang w:val="sr-Cyrl-RS" w:eastAsia="ar-SA"/>
        </w:rPr>
        <w:t xml:space="preserve"> које су у складу са најбољом међународном праксом (посебно Међународним стандардима ревизије).</w:t>
      </w:r>
    </w:p>
    <w:p w:rsidR="0089042F" w:rsidRPr="006E2C0D" w:rsidRDefault="0089042F" w:rsidP="006E2C0D">
      <w:pPr>
        <w:pStyle w:val="ListParagraph"/>
        <w:numPr>
          <w:ilvl w:val="0"/>
          <w:numId w:val="29"/>
        </w:numPr>
        <w:tabs>
          <w:tab w:val="left" w:pos="900"/>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Како би обезбедио да подаци коришћени за </w:t>
      </w:r>
      <w:proofErr w:type="spellStart"/>
      <w:r w:rsidRPr="006E2C0D">
        <w:rPr>
          <w:rFonts w:ascii="Times New Roman" w:eastAsia="Droid Sans Fallback" w:hAnsi="Times New Roman" w:cs="Calibri"/>
          <w:bCs/>
          <w:kern w:val="1"/>
          <w:sz w:val="24"/>
          <w:szCs w:val="24"/>
          <w:lang w:val="sr-Cyrl-RS" w:eastAsia="ar-SA"/>
        </w:rPr>
        <w:t>узорковање</w:t>
      </w:r>
      <w:proofErr w:type="spellEnd"/>
      <w:r w:rsidRPr="006E2C0D">
        <w:rPr>
          <w:rFonts w:ascii="Times New Roman" w:eastAsia="Droid Sans Fallback" w:hAnsi="Times New Roman" w:cs="Calibri"/>
          <w:bCs/>
          <w:kern w:val="1"/>
          <w:sz w:val="24"/>
          <w:szCs w:val="24"/>
          <w:lang w:val="sr-Cyrl-RS" w:eastAsia="ar-SA"/>
        </w:rPr>
        <w:t xml:space="preserve"> буду сврсисходни, Изабрани понуђач ће извршити тестове интегритета података и навести било које проблеме са сегментацијом и интегритетом података у свом детаљном извештају. </w:t>
      </w:r>
    </w:p>
    <w:p w:rsidR="0089042F" w:rsidRPr="006E2C0D" w:rsidRDefault="0089042F" w:rsidP="006E2C0D">
      <w:pPr>
        <w:pStyle w:val="ListParagraph"/>
        <w:numPr>
          <w:ilvl w:val="0"/>
          <w:numId w:val="29"/>
        </w:numPr>
        <w:tabs>
          <w:tab w:val="left" w:pos="900"/>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Резултати прегледа Кредитних досијеа – уколико не буду сматрани безначајним – биће </w:t>
      </w:r>
      <w:proofErr w:type="spellStart"/>
      <w:r w:rsidRPr="006E2C0D">
        <w:rPr>
          <w:rFonts w:ascii="Times New Roman" w:eastAsia="Droid Sans Fallback" w:hAnsi="Times New Roman" w:cs="Calibri"/>
          <w:bCs/>
          <w:kern w:val="1"/>
          <w:sz w:val="24"/>
          <w:szCs w:val="24"/>
          <w:lang w:val="sr-Cyrl-RS" w:eastAsia="ar-SA"/>
        </w:rPr>
        <w:t>екстраполисани</w:t>
      </w:r>
      <w:proofErr w:type="spellEnd"/>
      <w:r w:rsidRPr="006E2C0D">
        <w:rPr>
          <w:rFonts w:ascii="Times New Roman" w:eastAsia="Droid Sans Fallback" w:hAnsi="Times New Roman" w:cs="Calibri"/>
          <w:bCs/>
          <w:kern w:val="1"/>
          <w:sz w:val="24"/>
          <w:szCs w:val="24"/>
          <w:lang w:val="sr-Cyrl-RS" w:eastAsia="ar-SA"/>
        </w:rPr>
        <w:t xml:space="preserve"> на кредитне портфолије који нису били прегледани. Изабрани понуђач ће обезбедити да узорак који буде коришћен за преглед Кредитних досијеа буде репрезентативан приказ целокупног портфолија Фонда како би </w:t>
      </w:r>
      <w:proofErr w:type="spellStart"/>
      <w:r w:rsidRPr="006E2C0D">
        <w:rPr>
          <w:rFonts w:ascii="Times New Roman" w:eastAsia="Droid Sans Fallback" w:hAnsi="Times New Roman" w:cs="Calibri"/>
          <w:bCs/>
          <w:kern w:val="1"/>
          <w:sz w:val="24"/>
          <w:szCs w:val="24"/>
          <w:lang w:val="sr-Cyrl-RS" w:eastAsia="ar-SA"/>
        </w:rPr>
        <w:t>екстраполација</w:t>
      </w:r>
      <w:proofErr w:type="spellEnd"/>
      <w:r w:rsidRPr="006E2C0D">
        <w:rPr>
          <w:rFonts w:ascii="Times New Roman" w:eastAsia="Droid Sans Fallback" w:hAnsi="Times New Roman" w:cs="Calibri"/>
          <w:bCs/>
          <w:kern w:val="1"/>
          <w:sz w:val="24"/>
          <w:szCs w:val="24"/>
          <w:lang w:val="sr-Cyrl-RS" w:eastAsia="ar-SA"/>
        </w:rPr>
        <w:t xml:space="preserve"> могла да буде спроведена са адекватном поузданошћу. </w:t>
      </w:r>
    </w:p>
    <w:p w:rsidR="0089042F" w:rsidRPr="006E2C0D" w:rsidRDefault="0089042F" w:rsidP="006E2C0D">
      <w:pPr>
        <w:pStyle w:val="ListParagraph"/>
        <w:numPr>
          <w:ilvl w:val="0"/>
          <w:numId w:val="29"/>
        </w:numPr>
        <w:tabs>
          <w:tab w:val="left" w:pos="900"/>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Изабрани понуђач ће идентификовати проблематичну активу и доделити јој класификацију ризика у складу са МСФИ. Учинак преосталих кредита у периоду од Референтног датума до дана доставе детаљног извештаја може бити уврштен у примену критеријума за класификацију активе, са јасном идентификацијом утицаја тог учинка на финансијске извештаје Фонда. Све кредитне изложености према појединачном дужнику (или групи повезаних дужника) требало би да имају исту класификацију ризика. У случају када Изабрани понуђач сматра да различите класификације могу бити адекватно примењене на више кредитних производа према истом клијенту (или групи повезаних дужника), адекватно образложење мора бити пружено.</w:t>
      </w:r>
    </w:p>
    <w:p w:rsidR="0089042F" w:rsidRPr="006E2C0D" w:rsidRDefault="0089042F" w:rsidP="006E2C0D">
      <w:pPr>
        <w:pStyle w:val="ListParagraph"/>
        <w:numPr>
          <w:ilvl w:val="0"/>
          <w:numId w:val="29"/>
        </w:numPr>
        <w:tabs>
          <w:tab w:val="left" w:pos="900"/>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Изабрани понуђач ће извршити </w:t>
      </w:r>
      <w:proofErr w:type="spellStart"/>
      <w:r w:rsidRPr="006E2C0D">
        <w:rPr>
          <w:rFonts w:ascii="Times New Roman" w:eastAsia="Droid Sans Fallback" w:hAnsi="Times New Roman" w:cs="Calibri"/>
          <w:bCs/>
          <w:kern w:val="1"/>
          <w:sz w:val="24"/>
          <w:szCs w:val="24"/>
          <w:lang w:val="sr-Cyrl-RS" w:eastAsia="ar-SA"/>
        </w:rPr>
        <w:t>квантификацију</w:t>
      </w:r>
      <w:proofErr w:type="spellEnd"/>
      <w:r w:rsidRPr="006E2C0D">
        <w:rPr>
          <w:rFonts w:ascii="Times New Roman" w:eastAsia="Droid Sans Fallback" w:hAnsi="Times New Roman" w:cs="Calibri"/>
          <w:bCs/>
          <w:kern w:val="1"/>
          <w:sz w:val="24"/>
          <w:szCs w:val="24"/>
          <w:lang w:val="sr-Cyrl-RS" w:eastAsia="ar-SA"/>
        </w:rPr>
        <w:t xml:space="preserve"> ризичне изложености за </w:t>
      </w:r>
      <w:proofErr w:type="spellStart"/>
      <w:r w:rsidRPr="006E2C0D">
        <w:rPr>
          <w:rFonts w:ascii="Times New Roman" w:eastAsia="Droid Sans Fallback" w:hAnsi="Times New Roman" w:cs="Calibri"/>
          <w:bCs/>
          <w:kern w:val="1"/>
          <w:sz w:val="24"/>
          <w:szCs w:val="24"/>
          <w:lang w:val="sr-Cyrl-RS" w:eastAsia="ar-SA"/>
        </w:rPr>
        <w:t>неактивиране</w:t>
      </w:r>
      <w:proofErr w:type="spellEnd"/>
      <w:r w:rsidRPr="006E2C0D">
        <w:rPr>
          <w:rFonts w:ascii="Times New Roman" w:eastAsia="Droid Sans Fallback" w:hAnsi="Times New Roman" w:cs="Calibri"/>
          <w:bCs/>
          <w:kern w:val="1"/>
          <w:sz w:val="24"/>
          <w:szCs w:val="24"/>
          <w:lang w:val="sr-Cyrl-RS" w:eastAsia="ar-SA"/>
        </w:rPr>
        <w:t xml:space="preserve"> финансијске гаранције које је издао Фонд (укључујући и оне које се односе на мере подршке привреди за ублажавање последица </w:t>
      </w:r>
      <w:proofErr w:type="spellStart"/>
      <w:r w:rsidRPr="006E2C0D">
        <w:rPr>
          <w:rFonts w:ascii="Times New Roman" w:eastAsia="Droid Sans Fallback" w:hAnsi="Times New Roman" w:cs="Calibri"/>
          <w:bCs/>
          <w:kern w:val="1"/>
          <w:sz w:val="24"/>
          <w:szCs w:val="24"/>
          <w:lang w:val="sr-Cyrl-RS" w:eastAsia="ar-SA"/>
        </w:rPr>
        <w:t>пандемије</w:t>
      </w:r>
      <w:proofErr w:type="spellEnd"/>
      <w:r w:rsidRPr="006E2C0D">
        <w:rPr>
          <w:rFonts w:ascii="Times New Roman" w:eastAsia="Droid Sans Fallback" w:hAnsi="Times New Roman" w:cs="Calibri"/>
          <w:bCs/>
          <w:kern w:val="1"/>
          <w:sz w:val="24"/>
          <w:szCs w:val="24"/>
          <w:lang w:val="sr-Cyrl-RS" w:eastAsia="ar-SA"/>
        </w:rPr>
        <w:t xml:space="preserve"> болести COVID 19), узимајући у обзир могућност да гаранције буду активиране од стране њихових корисника, у светлу доступних података о њиховим финансијским позицијама. У овом контексту, Изабрани понуђач ће извршити преглед политика и процедура Фонда за надзирање тих корисника, проценити адекватност таквог надзирања и верификовати да су адекватне резерве за ризике успостављене за преостале гаранције.</w:t>
      </w:r>
    </w:p>
    <w:p w:rsidR="0089042F" w:rsidRPr="006E2C0D" w:rsidRDefault="0089042F" w:rsidP="006E2C0D">
      <w:pPr>
        <w:pStyle w:val="ListParagraph"/>
        <w:numPr>
          <w:ilvl w:val="0"/>
          <w:numId w:val="29"/>
        </w:numPr>
        <w:tabs>
          <w:tab w:val="left" w:pos="900"/>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Изабрани понуђач ће идентификовати и квантификовати концентрације Ризичне Активе. Концентрације повезаних дужника које представљају најмање пет процената капитала Фонда, или индустријске концентрације које представљају најмање 25 процената капитала, морају бити посебно издвојене и описане. Повезаности између дужника биће дефинисане у складу са чланом 2 Закона о банкама – што подразумева могућност вршења утицаја на управљање правним лицем или на пословну политику и доношење одлука тог лица, а дужници ће се сматрати повезаним на основу, између осталих фактора, заједничког власништва, међукомпанијске зависности, економске зависности или </w:t>
      </w:r>
      <w:r w:rsidRPr="006E2C0D">
        <w:rPr>
          <w:rFonts w:ascii="Times New Roman" w:eastAsia="Droid Sans Fallback" w:hAnsi="Times New Roman" w:cs="Calibri"/>
          <w:bCs/>
          <w:kern w:val="1"/>
          <w:sz w:val="24"/>
          <w:szCs w:val="24"/>
          <w:lang w:val="sr-Cyrl-RS" w:eastAsia="ar-SA"/>
        </w:rPr>
        <w:lastRenderedPageBreak/>
        <w:t xml:space="preserve">заједничких извора отплате. Изложености према свакој појединачној концентрацији које премашују ниво од пет процената капитала Фонда биће појединачно анализиране, уз коментаре Изабраног понуђача на учинак дужника и могућност отплате на основу постојећих услова изложености. </w:t>
      </w:r>
    </w:p>
    <w:p w:rsidR="0089042F" w:rsidRPr="006E2C0D" w:rsidRDefault="0089042F" w:rsidP="006E2C0D">
      <w:pPr>
        <w:pStyle w:val="ListParagraph"/>
        <w:numPr>
          <w:ilvl w:val="0"/>
          <w:numId w:val="29"/>
        </w:numPr>
        <w:tabs>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Приликом процене квалитета Ризичне Активе Фонда, примарни фокус би требало ставити на дужникове могућности отплате свих обавеза у потпуности коришћењем оперативних новчаних токова. Од Изабраног понуђача се очекује да достави коментаре на адекватност пројекција новчаних токова припремљених од стране Фонда; адекватност претпоставки на којима су засноване те пројекције; и процеса у којима Фонд оцењује те пројекције и подвргава их стриктним анализама сензитивности. У случају где је примарни извор отплате подржан гаранцијом трећег лица, требало би проценити могућност активирања тих гаранција, заједно са способношћу гаранта да изврши исплату гаранције.</w:t>
      </w:r>
    </w:p>
    <w:p w:rsidR="0089042F" w:rsidRPr="006E2C0D" w:rsidRDefault="0089042F" w:rsidP="006E2C0D">
      <w:pPr>
        <w:pStyle w:val="ListParagraph"/>
        <w:numPr>
          <w:ilvl w:val="0"/>
          <w:numId w:val="29"/>
        </w:numPr>
        <w:tabs>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 У случају где је изложеност обезбеђена хипотеком над непокретности, Изабрани понуђач ће анализирати наплативу вредност таквог средства обезбеђења. У овом контексту, Изабрани понуђач ће извршити процену наплативости средства обезбеђења у светлу исплатног реда и потенцијалних правних препрека и способности Фонда да реализује, без одлагања, процењену вредност тог средства обезбеђења у светлу постојећих експертиза за наплату, тржишне ликвидности и адекватности процењеног временског тока наплате. </w:t>
      </w:r>
    </w:p>
    <w:p w:rsidR="0089042F" w:rsidRPr="006E2C0D" w:rsidRDefault="0089042F" w:rsidP="006E2C0D">
      <w:pPr>
        <w:pStyle w:val="ListParagraph"/>
        <w:numPr>
          <w:ilvl w:val="0"/>
          <w:numId w:val="29"/>
        </w:numPr>
        <w:tabs>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 Изабрани понуђач ће извршити преглед процена вредности непокретности коришћених као средство обезбеђења код свих појединачно прегледаних и </w:t>
      </w:r>
      <w:proofErr w:type="spellStart"/>
      <w:r w:rsidRPr="006E2C0D">
        <w:rPr>
          <w:rFonts w:ascii="Times New Roman" w:eastAsia="Droid Sans Fallback" w:hAnsi="Times New Roman" w:cs="Calibri"/>
          <w:bCs/>
          <w:kern w:val="1"/>
          <w:sz w:val="24"/>
          <w:szCs w:val="24"/>
          <w:lang w:val="sr-Cyrl-RS" w:eastAsia="ar-SA"/>
        </w:rPr>
        <w:t>узоркованих</w:t>
      </w:r>
      <w:proofErr w:type="spellEnd"/>
      <w:r w:rsidRPr="006E2C0D">
        <w:rPr>
          <w:rFonts w:ascii="Times New Roman" w:eastAsia="Droid Sans Fallback" w:hAnsi="Times New Roman" w:cs="Calibri"/>
          <w:bCs/>
          <w:kern w:val="1"/>
          <w:sz w:val="24"/>
          <w:szCs w:val="24"/>
          <w:lang w:val="sr-Cyrl-RS" w:eastAsia="ar-SA"/>
        </w:rPr>
        <w:t xml:space="preserve"> изложености и утврдити да ли су процене (а) ажурне и (б) да ли адекватно одражавају реалну тржишну вредност непокретности (тј. разумно процењени износ за који би непокретност могла бити продата у трансакцији ван дохвата руке и унутар дефинисаног временског оквира). Изабрани понуђач ће такође утврдити да ли су процене вредности непокретности усклађене са признатим међународним стандардима процене вредности које промовишу Савет за Међународне стандарде процене вредности (IVSC), Краљевска институција овлашћених проценитеља (RICS) или Европска група удружења проценитеља (</w:t>
      </w:r>
      <w:proofErr w:type="spellStart"/>
      <w:r w:rsidRPr="006E2C0D">
        <w:rPr>
          <w:rFonts w:ascii="Times New Roman" w:eastAsia="Droid Sans Fallback" w:hAnsi="Times New Roman" w:cs="Calibri"/>
          <w:bCs/>
          <w:kern w:val="1"/>
          <w:sz w:val="24"/>
          <w:szCs w:val="24"/>
          <w:lang w:val="sr-Cyrl-RS" w:eastAsia="ar-SA"/>
        </w:rPr>
        <w:t>TEGoVA</w:t>
      </w:r>
      <w:proofErr w:type="spellEnd"/>
      <w:r w:rsidRPr="006E2C0D">
        <w:rPr>
          <w:rFonts w:ascii="Times New Roman" w:eastAsia="Droid Sans Fallback" w:hAnsi="Times New Roman" w:cs="Calibri"/>
          <w:bCs/>
          <w:kern w:val="1"/>
          <w:sz w:val="24"/>
          <w:szCs w:val="24"/>
          <w:lang w:val="sr-Cyrl-RS" w:eastAsia="ar-SA"/>
        </w:rPr>
        <w:t>). Уколико Изабрани понуђач утврди да процена вредности не одражава адекватно реалну тржишну вредност, он ће приступити кориговању процењене вредности за потребе посебних дијагностичких испитивања или кроз примену дисконтног фактора или кроз независно утврђивање вредности непокретности. За средства обезбеђења код којих одговарајућа документација није доступна Изабрани понуђач ће утврдити вредност једном од примењивих метода (</w:t>
      </w:r>
      <w:proofErr w:type="spellStart"/>
      <w:r w:rsidRPr="006E2C0D">
        <w:rPr>
          <w:rFonts w:ascii="Times New Roman" w:eastAsia="Droid Sans Fallback" w:hAnsi="Times New Roman" w:cs="Calibri"/>
          <w:bCs/>
          <w:kern w:val="1"/>
          <w:sz w:val="24"/>
          <w:szCs w:val="24"/>
          <w:lang w:val="sr-Cyrl-RS" w:eastAsia="ar-SA"/>
        </w:rPr>
        <w:t>приносна</w:t>
      </w:r>
      <w:proofErr w:type="spellEnd"/>
      <w:r w:rsidRPr="006E2C0D">
        <w:rPr>
          <w:rFonts w:ascii="Times New Roman" w:eastAsia="Droid Sans Fallback" w:hAnsi="Times New Roman" w:cs="Calibri"/>
          <w:bCs/>
          <w:kern w:val="1"/>
          <w:sz w:val="24"/>
          <w:szCs w:val="24"/>
          <w:lang w:val="sr-Cyrl-RS" w:eastAsia="ar-SA"/>
        </w:rPr>
        <w:t>, тржишна или трошковна) у складу са међународним стандардима процене вредности. Утврђивање вредности средстава обезбеђења (у случајевима када постојеће процене неадекватно одражавају реалну тржишну вредност или када одговарајућа документација није доступна) биће рађено само за потребе посебних дијагностичких испитивања и неће представљати целокупну процену вредности у складу са претходно наведеним стандардима.</w:t>
      </w:r>
    </w:p>
    <w:p w:rsidR="0089042F" w:rsidRPr="006E2C0D" w:rsidRDefault="0089042F" w:rsidP="006E2C0D">
      <w:pPr>
        <w:pStyle w:val="ListParagraph"/>
        <w:numPr>
          <w:ilvl w:val="0"/>
          <w:numId w:val="29"/>
        </w:numPr>
        <w:tabs>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 На основу горе наведеног, Изабрани понуђач ће извршити процену адекватности резервисања за исправке вредности кредита Фонда, процена вредности непокретности и осталих резерви. Од Изабраног понуђача се очекује да јасно објасни и образложи методологије коришћене да би се такве исправке вредности и резервисања сматрале адекватним.</w:t>
      </w:r>
    </w:p>
    <w:p w:rsidR="0089042F" w:rsidRPr="006E2C0D" w:rsidRDefault="0089042F" w:rsidP="006E2C0D">
      <w:pPr>
        <w:pStyle w:val="ListParagraph"/>
        <w:numPr>
          <w:ilvl w:val="0"/>
          <w:numId w:val="29"/>
        </w:numPr>
        <w:tabs>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Изабрани понуђач ће демонстрирати утицај </w:t>
      </w:r>
      <w:proofErr w:type="spellStart"/>
      <w:r w:rsidRPr="006E2C0D">
        <w:rPr>
          <w:rFonts w:ascii="Times New Roman" w:eastAsia="Droid Sans Fallback" w:hAnsi="Times New Roman" w:cs="Calibri"/>
          <w:bCs/>
          <w:kern w:val="1"/>
          <w:sz w:val="24"/>
          <w:szCs w:val="24"/>
          <w:lang w:val="sr-Cyrl-RS" w:eastAsia="ar-SA"/>
        </w:rPr>
        <w:t>рекласификације</w:t>
      </w:r>
      <w:proofErr w:type="spellEnd"/>
      <w:r w:rsidRPr="006E2C0D">
        <w:rPr>
          <w:rFonts w:ascii="Times New Roman" w:eastAsia="Droid Sans Fallback" w:hAnsi="Times New Roman" w:cs="Calibri"/>
          <w:bCs/>
          <w:kern w:val="1"/>
          <w:sz w:val="24"/>
          <w:szCs w:val="24"/>
          <w:lang w:val="sr-Cyrl-RS" w:eastAsia="ar-SA"/>
        </w:rPr>
        <w:t xml:space="preserve"> активе и промена у резервисањима за исправке вредности на финансијске извештаје Фонда. Анализа </w:t>
      </w:r>
      <w:r w:rsidRPr="006E2C0D">
        <w:rPr>
          <w:rFonts w:ascii="Times New Roman" w:eastAsia="Droid Sans Fallback" w:hAnsi="Times New Roman" w:cs="Calibri"/>
          <w:bCs/>
          <w:kern w:val="1"/>
          <w:sz w:val="24"/>
          <w:szCs w:val="24"/>
          <w:lang w:val="sr-Cyrl-RS" w:eastAsia="ar-SA"/>
        </w:rPr>
        <w:lastRenderedPageBreak/>
        <w:t xml:space="preserve">би требало да садржи прецизирање износа додатног капитала потребног (уколико то буде случај) за одржавање минималног </w:t>
      </w:r>
      <w:proofErr w:type="spellStart"/>
      <w:r w:rsidRPr="006E2C0D">
        <w:rPr>
          <w:rFonts w:ascii="Times New Roman" w:eastAsia="Droid Sans Fallback" w:hAnsi="Times New Roman" w:cs="Calibri"/>
          <w:bCs/>
          <w:kern w:val="1"/>
          <w:sz w:val="24"/>
          <w:szCs w:val="24"/>
          <w:lang w:val="sr-Cyrl-RS" w:eastAsia="ar-SA"/>
        </w:rPr>
        <w:t>oсновног</w:t>
      </w:r>
      <w:proofErr w:type="spellEnd"/>
      <w:r w:rsidRPr="006E2C0D">
        <w:rPr>
          <w:rFonts w:ascii="Times New Roman" w:eastAsia="Droid Sans Fallback" w:hAnsi="Times New Roman" w:cs="Calibri"/>
          <w:bCs/>
          <w:kern w:val="1"/>
          <w:sz w:val="24"/>
          <w:szCs w:val="24"/>
          <w:lang w:val="sr-Cyrl-RS" w:eastAsia="ar-SA"/>
        </w:rPr>
        <w:t xml:space="preserve"> капитала Фонда, у складу са респективним важећим прописима. Треба пружити детаљну листу свих усклађивања која су потребна с циљем да се обезбеди да финансијски извештаји тачно и објективно представљају финансијски положај и послова</w:t>
      </w:r>
      <w:r w:rsidR="006E2C0D" w:rsidRPr="006E2C0D">
        <w:rPr>
          <w:rFonts w:ascii="Times New Roman" w:eastAsia="Droid Sans Fallback" w:hAnsi="Times New Roman" w:cs="Calibri"/>
          <w:bCs/>
          <w:kern w:val="1"/>
          <w:sz w:val="24"/>
          <w:szCs w:val="24"/>
          <w:lang w:val="sr-Cyrl-RS" w:eastAsia="ar-SA"/>
        </w:rPr>
        <w:t>њ</w:t>
      </w:r>
      <w:r w:rsidRPr="006E2C0D">
        <w:rPr>
          <w:rFonts w:ascii="Times New Roman" w:eastAsia="Droid Sans Fallback" w:hAnsi="Times New Roman" w:cs="Calibri"/>
          <w:bCs/>
          <w:kern w:val="1"/>
          <w:sz w:val="24"/>
          <w:szCs w:val="24"/>
          <w:lang w:val="sr-Cyrl-RS" w:eastAsia="ar-SA"/>
        </w:rPr>
        <w:t xml:space="preserve">е Фонда. Усклађивања могу укључивати додатна резервисања за кредитне губитке и друге износе резерви, суспензије или сторнирање обрачунатих камата на кредите и авансе који се сматрају неквалитетним/проблематичним, активу која ће бити отписана, или било која друга усклађивања и </w:t>
      </w:r>
      <w:proofErr w:type="spellStart"/>
      <w:r w:rsidRPr="006E2C0D">
        <w:rPr>
          <w:rFonts w:ascii="Times New Roman" w:eastAsia="Droid Sans Fallback" w:hAnsi="Times New Roman" w:cs="Calibri"/>
          <w:bCs/>
          <w:kern w:val="1"/>
          <w:sz w:val="24"/>
          <w:szCs w:val="24"/>
          <w:lang w:val="sr-Cyrl-RS" w:eastAsia="ar-SA"/>
        </w:rPr>
        <w:t>рекласификације</w:t>
      </w:r>
      <w:proofErr w:type="spellEnd"/>
      <w:r w:rsidRPr="006E2C0D">
        <w:rPr>
          <w:rFonts w:ascii="Times New Roman" w:eastAsia="Droid Sans Fallback" w:hAnsi="Times New Roman" w:cs="Calibri"/>
          <w:bCs/>
          <w:kern w:val="1"/>
          <w:sz w:val="24"/>
          <w:szCs w:val="24"/>
          <w:lang w:val="sr-Cyrl-RS" w:eastAsia="ar-SA"/>
        </w:rPr>
        <w:t xml:space="preserve"> које у значајном погледу утичу на финансијске извештаје.</w:t>
      </w:r>
    </w:p>
    <w:p w:rsidR="0089042F" w:rsidRPr="006E2C0D" w:rsidRDefault="0089042F" w:rsidP="006E2C0D">
      <w:pPr>
        <w:pStyle w:val="ListParagraph"/>
        <w:numPr>
          <w:ilvl w:val="0"/>
          <w:numId w:val="29"/>
        </w:numPr>
        <w:tabs>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 Материјална кршења позитивних прописа, или сумњу о постојању истих, морају бити неодложно пријављена Наручиоцу. У том случају, Изабрани понуђач би требало, колико је могуће, да се изјасни о потреби за даљом </w:t>
      </w:r>
      <w:proofErr w:type="spellStart"/>
      <w:r w:rsidRPr="006E2C0D">
        <w:rPr>
          <w:rFonts w:ascii="Times New Roman" w:eastAsia="Droid Sans Fallback" w:hAnsi="Times New Roman" w:cs="Calibri"/>
          <w:bCs/>
          <w:kern w:val="1"/>
          <w:sz w:val="24"/>
          <w:szCs w:val="24"/>
          <w:lang w:val="sr-Cyrl-RS" w:eastAsia="ar-SA"/>
        </w:rPr>
        <w:t>форензичком</w:t>
      </w:r>
      <w:proofErr w:type="spellEnd"/>
      <w:r w:rsidRPr="006E2C0D">
        <w:rPr>
          <w:rFonts w:ascii="Times New Roman" w:eastAsia="Droid Sans Fallback" w:hAnsi="Times New Roman" w:cs="Calibri"/>
          <w:bCs/>
          <w:kern w:val="1"/>
          <w:sz w:val="24"/>
          <w:szCs w:val="24"/>
          <w:lang w:val="sr-Cyrl-RS" w:eastAsia="ar-SA"/>
        </w:rPr>
        <w:t xml:space="preserve"> истрагом како би се утврдио обим таквих прекршаја. </w:t>
      </w:r>
    </w:p>
    <w:p w:rsidR="0089042F" w:rsidRPr="006E2C0D" w:rsidRDefault="0089042F" w:rsidP="006E2C0D">
      <w:pPr>
        <w:spacing w:line="240" w:lineRule="auto"/>
        <w:ind w:firstLine="1134"/>
        <w:contextualSpacing/>
        <w:rPr>
          <w:rFonts w:ascii="Times New Roman" w:eastAsia="Droid Sans Fallback" w:hAnsi="Times New Roman" w:cs="Calibri"/>
          <w:b/>
          <w:bCs/>
          <w:kern w:val="1"/>
          <w:sz w:val="24"/>
          <w:szCs w:val="24"/>
          <w:lang w:val="sr-Cyrl-RS" w:eastAsia="ar-SA"/>
        </w:rPr>
      </w:pPr>
      <w:r w:rsidRPr="006E2C0D">
        <w:rPr>
          <w:rFonts w:ascii="Times New Roman" w:eastAsia="Droid Sans Fallback" w:hAnsi="Times New Roman" w:cs="Calibri"/>
          <w:b/>
          <w:bCs/>
          <w:kern w:val="1"/>
          <w:sz w:val="24"/>
          <w:szCs w:val="24"/>
          <w:lang w:val="sr-Cyrl-RS" w:eastAsia="ar-SA"/>
        </w:rPr>
        <w:t>Г. Остала актива, пасива, приходи и расходи</w:t>
      </w:r>
    </w:p>
    <w:p w:rsidR="0089042F" w:rsidRPr="006E2C0D" w:rsidRDefault="0089042F" w:rsidP="006E2C0D">
      <w:pPr>
        <w:pStyle w:val="ListParagraph"/>
        <w:numPr>
          <w:ilvl w:val="0"/>
          <w:numId w:val="31"/>
        </w:numPr>
        <w:tabs>
          <w:tab w:val="left" w:pos="720"/>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Треба посебно анализирати и утврдити оправданост вредности осталих ставки активе (нпр. фиксна актива, стечена материјална имовина и друго).</w:t>
      </w:r>
    </w:p>
    <w:p w:rsidR="0089042F" w:rsidRPr="006E2C0D" w:rsidRDefault="0089042F" w:rsidP="006E2C0D">
      <w:pPr>
        <w:pStyle w:val="ListParagraph"/>
        <w:numPr>
          <w:ilvl w:val="0"/>
          <w:numId w:val="31"/>
        </w:numPr>
        <w:tabs>
          <w:tab w:val="left" w:pos="720"/>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Треба обезбедити детаљну листу </w:t>
      </w:r>
      <w:proofErr w:type="spellStart"/>
      <w:r w:rsidRPr="006E2C0D">
        <w:rPr>
          <w:rFonts w:ascii="Times New Roman" w:eastAsia="Droid Sans Fallback" w:hAnsi="Times New Roman" w:cs="Calibri"/>
          <w:bCs/>
          <w:kern w:val="1"/>
          <w:sz w:val="24"/>
          <w:szCs w:val="24"/>
          <w:lang w:val="sr-Cyrl-RS" w:eastAsia="ar-SA"/>
        </w:rPr>
        <w:t>најризичнијих</w:t>
      </w:r>
      <w:proofErr w:type="spellEnd"/>
      <w:r w:rsidRPr="006E2C0D">
        <w:rPr>
          <w:rFonts w:ascii="Times New Roman" w:eastAsia="Droid Sans Fallback" w:hAnsi="Times New Roman" w:cs="Calibri"/>
          <w:bCs/>
          <w:kern w:val="1"/>
          <w:sz w:val="24"/>
          <w:szCs w:val="24"/>
          <w:lang w:val="sr-Cyrl-RS" w:eastAsia="ar-SA"/>
        </w:rPr>
        <w:t xml:space="preserve"> ставки остале активе и пасиве, које су и након </w:t>
      </w:r>
      <w:r w:rsidR="006E2C0D" w:rsidRPr="006E2C0D">
        <w:rPr>
          <w:rFonts w:ascii="Times New Roman" w:eastAsia="Droid Sans Fallback" w:hAnsi="Times New Roman" w:cs="Calibri"/>
          <w:bCs/>
          <w:kern w:val="1"/>
          <w:sz w:val="24"/>
          <w:szCs w:val="24"/>
          <w:lang w:val="sr-Cyrl-RS" w:eastAsia="ar-SA"/>
        </w:rPr>
        <w:t>усклађивања</w:t>
      </w:r>
      <w:r w:rsidRPr="006E2C0D">
        <w:rPr>
          <w:rFonts w:ascii="Times New Roman" w:eastAsia="Droid Sans Fallback" w:hAnsi="Times New Roman" w:cs="Calibri"/>
          <w:bCs/>
          <w:kern w:val="1"/>
          <w:sz w:val="24"/>
          <w:szCs w:val="24"/>
          <w:lang w:val="sr-Cyrl-RS" w:eastAsia="ar-SA"/>
        </w:rPr>
        <w:t xml:space="preserve"> у финансијским извештајима, подложне даљим значајним променама остваривих вредности. </w:t>
      </w:r>
    </w:p>
    <w:p w:rsidR="0089042F" w:rsidRPr="006E2C0D" w:rsidRDefault="0089042F" w:rsidP="006E2C0D">
      <w:pPr>
        <w:pStyle w:val="ListParagraph"/>
        <w:numPr>
          <w:ilvl w:val="0"/>
          <w:numId w:val="31"/>
        </w:numPr>
        <w:tabs>
          <w:tab w:val="left" w:pos="720"/>
          <w:tab w:val="left" w:pos="81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Треба обезбедити детаљну листу најзначајнијих ставки прихода и расхода, који и након усклађивања у финансијским извештајима, могу значајно бити прецењени или </w:t>
      </w:r>
      <w:r w:rsidR="006E2C0D" w:rsidRPr="006E2C0D">
        <w:rPr>
          <w:rFonts w:ascii="Times New Roman" w:eastAsia="Droid Sans Fallback" w:hAnsi="Times New Roman" w:cs="Calibri"/>
          <w:bCs/>
          <w:kern w:val="1"/>
          <w:sz w:val="24"/>
          <w:szCs w:val="24"/>
          <w:lang w:val="sr-Cyrl-RS" w:eastAsia="ar-SA"/>
        </w:rPr>
        <w:t>потцењени</w:t>
      </w:r>
      <w:r w:rsidRPr="006E2C0D">
        <w:rPr>
          <w:rFonts w:ascii="Times New Roman" w:eastAsia="Droid Sans Fallback" w:hAnsi="Times New Roman" w:cs="Calibri"/>
          <w:bCs/>
          <w:kern w:val="1"/>
          <w:sz w:val="24"/>
          <w:szCs w:val="24"/>
          <w:lang w:val="sr-Cyrl-RS" w:eastAsia="ar-SA"/>
        </w:rPr>
        <w:t>.</w:t>
      </w:r>
    </w:p>
    <w:p w:rsidR="0089042F" w:rsidRPr="006E2C0D" w:rsidRDefault="0089042F" w:rsidP="006E2C0D">
      <w:pPr>
        <w:ind w:firstLine="1134"/>
        <w:contextualSpacing/>
        <w:rPr>
          <w:rFonts w:ascii="Times New Roman" w:eastAsia="Droid Sans Fallback" w:hAnsi="Times New Roman" w:cs="Calibri"/>
          <w:b/>
          <w:bCs/>
          <w:kern w:val="1"/>
          <w:sz w:val="24"/>
          <w:szCs w:val="24"/>
          <w:lang w:val="sr-Cyrl-RS" w:eastAsia="ar-SA"/>
        </w:rPr>
      </w:pPr>
      <w:r w:rsidRPr="006E2C0D">
        <w:rPr>
          <w:rFonts w:ascii="Times New Roman" w:eastAsia="Droid Sans Fallback" w:hAnsi="Times New Roman" w:cs="Calibri"/>
          <w:b/>
          <w:bCs/>
          <w:kern w:val="1"/>
          <w:sz w:val="24"/>
          <w:szCs w:val="24"/>
          <w:lang w:val="sr-Cyrl-RS" w:eastAsia="ar-SA"/>
        </w:rPr>
        <w:t xml:space="preserve">Д. Очекивани резултати и временски рокови </w:t>
      </w:r>
    </w:p>
    <w:p w:rsidR="0089042F" w:rsidRPr="006E2C0D" w:rsidRDefault="0089042F" w:rsidP="006E2C0D">
      <w:pPr>
        <w:pStyle w:val="ListParagraph"/>
        <w:numPr>
          <w:ilvl w:val="0"/>
          <w:numId w:val="36"/>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Сви извештаји и очекивани резултати биће припремљени на српском језику. </w:t>
      </w:r>
    </w:p>
    <w:p w:rsidR="0089042F" w:rsidRPr="006E2C0D" w:rsidRDefault="0089042F" w:rsidP="006E2C0D">
      <w:pPr>
        <w:pStyle w:val="ListParagraph"/>
        <w:numPr>
          <w:ilvl w:val="0"/>
          <w:numId w:val="36"/>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Услуге саветовања биће спроведена у складу са следећим временским роковима:</w:t>
      </w:r>
    </w:p>
    <w:p w:rsidR="0089042F" w:rsidRPr="006E2C0D" w:rsidRDefault="0089042F" w:rsidP="006E2C0D">
      <w:pPr>
        <w:pStyle w:val="ListParagraph"/>
        <w:numPr>
          <w:ilvl w:val="0"/>
          <w:numId w:val="32"/>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у року од седам (7) радних дана од када је писаним путем Изабрани понуђач известио Наручиоца да је прикупио комплетну документацију, Изабрани понуђач ће доставити Наручиоцу на одобрење пројектни радни план са кључним циљевима и резултатима. </w:t>
      </w:r>
    </w:p>
    <w:p w:rsidR="0089042F" w:rsidRPr="006E2C0D" w:rsidRDefault="0089042F" w:rsidP="006E2C0D">
      <w:pPr>
        <w:pStyle w:val="ListParagraph"/>
        <w:numPr>
          <w:ilvl w:val="0"/>
          <w:numId w:val="32"/>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у року од најкасније четрдесет пет (45) дана од када је писаним путем Изабрани понуђач известио Наручиоца да је прикупио комплетну документацију, Изабрани понуђач ће доставити Наручиоцу извештај о напретку у којем ће бити наведени прелиминарни налази и кључни изазови са којима се Изабрани понуђач сусрео. У том тренутку, од Изабраног понуђача се очекује да је развио детаљно разумевање пракси резервисања, методологија и пословних процеса Фонда, као и постојећих ограничења у подацима. </w:t>
      </w:r>
    </w:p>
    <w:p w:rsidR="0089042F" w:rsidRPr="006E2C0D" w:rsidRDefault="0089042F" w:rsidP="006E2C0D">
      <w:pPr>
        <w:pStyle w:val="ListParagraph"/>
        <w:numPr>
          <w:ilvl w:val="0"/>
          <w:numId w:val="32"/>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Изабрани понуђач неће разговарати о својим прелиминарним налазима са вишим руководством Фонда пре </w:t>
      </w:r>
      <w:proofErr w:type="spellStart"/>
      <w:r w:rsidRPr="006E2C0D">
        <w:rPr>
          <w:rFonts w:ascii="Times New Roman" w:eastAsia="Droid Sans Fallback" w:hAnsi="Times New Roman" w:cs="Calibri"/>
          <w:bCs/>
          <w:kern w:val="1"/>
          <w:sz w:val="24"/>
          <w:szCs w:val="24"/>
          <w:lang w:val="sr-Cyrl-RS" w:eastAsia="ar-SA"/>
        </w:rPr>
        <w:t>финализације</w:t>
      </w:r>
      <w:proofErr w:type="spellEnd"/>
      <w:r w:rsidRPr="006E2C0D">
        <w:rPr>
          <w:rFonts w:ascii="Times New Roman" w:eastAsia="Droid Sans Fallback" w:hAnsi="Times New Roman" w:cs="Calibri"/>
          <w:bCs/>
          <w:kern w:val="1"/>
          <w:sz w:val="24"/>
          <w:szCs w:val="24"/>
          <w:lang w:val="sr-Cyrl-RS" w:eastAsia="ar-SA"/>
        </w:rPr>
        <w:t xml:space="preserve"> извештаја. Разговори са Фондом биће искључиво фокусирани на техничку анализу, док надлежност за дискусију о мерама које је потребно предузети искључиво задржава Наручилац.</w:t>
      </w:r>
    </w:p>
    <w:p w:rsidR="0089042F" w:rsidRPr="006E2C0D" w:rsidRDefault="0089042F" w:rsidP="006E2C0D">
      <w:pPr>
        <w:pStyle w:val="ListParagraph"/>
        <w:numPr>
          <w:ilvl w:val="0"/>
          <w:numId w:val="32"/>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у року од </w:t>
      </w:r>
      <w:proofErr w:type="spellStart"/>
      <w:r w:rsidRPr="006E2C0D">
        <w:rPr>
          <w:rFonts w:ascii="Times New Roman" w:eastAsia="Droid Sans Fallback" w:hAnsi="Times New Roman" w:cs="Calibri"/>
          <w:bCs/>
          <w:kern w:val="1"/>
          <w:sz w:val="24"/>
          <w:szCs w:val="24"/>
          <w:lang w:val="sr-Cyrl-RS" w:eastAsia="ar-SA"/>
        </w:rPr>
        <w:t>стодвадесет</w:t>
      </w:r>
      <w:proofErr w:type="spellEnd"/>
      <w:r w:rsidRPr="006E2C0D">
        <w:rPr>
          <w:rFonts w:ascii="Times New Roman" w:eastAsia="Droid Sans Fallback" w:hAnsi="Times New Roman" w:cs="Calibri"/>
          <w:bCs/>
          <w:kern w:val="1"/>
          <w:sz w:val="24"/>
          <w:szCs w:val="24"/>
          <w:lang w:val="sr-Cyrl-RS" w:eastAsia="ar-SA"/>
        </w:rPr>
        <w:t xml:space="preserve"> (120) дана од када је писаним путем Изабрани понуђач известио Наручиоца да је прикупио комплетну документацију, Изабрани понуђач ће доставити Наручиоцу нацрт детаљног извештаја, који ће садржати: </w:t>
      </w:r>
    </w:p>
    <w:p w:rsidR="0089042F" w:rsidRPr="006E2C0D" w:rsidRDefault="0089042F" w:rsidP="006E2C0D">
      <w:pPr>
        <w:pStyle w:val="ListParagraph"/>
        <w:numPr>
          <w:ilvl w:val="1"/>
          <w:numId w:val="21"/>
        </w:numPr>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lastRenderedPageBreak/>
        <w:t xml:space="preserve">скраћени преглед кључних налаза и рангирање, по важности, препрека које захтевају предузимање мера, заједно са прегледним билансима који приказују утицај исправки идентификованих услугама саветовања у складу са МСФИ и у складу са Стандардима извештавања; </w:t>
      </w:r>
    </w:p>
    <w:p w:rsidR="0089042F" w:rsidRPr="006E2C0D" w:rsidRDefault="0089042F" w:rsidP="006E2C0D">
      <w:pPr>
        <w:pStyle w:val="ListParagraph"/>
        <w:numPr>
          <w:ilvl w:val="1"/>
          <w:numId w:val="21"/>
        </w:numPr>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опис спроведеног рада, укључујући и податке о избору Кредитних досијеа који су били предмет анализа и, где је то релевантно, било које проблеме са сегментацијом и интегритетом података;</w:t>
      </w:r>
    </w:p>
    <w:p w:rsidR="0089042F" w:rsidRPr="006E2C0D" w:rsidRDefault="0089042F" w:rsidP="006E2C0D">
      <w:pPr>
        <w:pStyle w:val="ListParagraph"/>
        <w:numPr>
          <w:ilvl w:val="1"/>
          <w:numId w:val="21"/>
        </w:numPr>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опис налаза Изабраног понуђача у вези са пословним стратегијама;</w:t>
      </w:r>
    </w:p>
    <w:p w:rsidR="0089042F" w:rsidRPr="006E2C0D" w:rsidRDefault="0089042F" w:rsidP="006E2C0D">
      <w:pPr>
        <w:pStyle w:val="ListParagraph"/>
        <w:numPr>
          <w:ilvl w:val="1"/>
          <w:numId w:val="21"/>
        </w:numPr>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преглед бруто Ризичне Активе, тј. кредитног портфолија (билансног и ванбилансног) на Референтни датум, описујући, између осталог, бруто билансне и ванбилансне (повезане) кредитне изложености, сегментацију портфолија (и по индустријама), концентрацију ризика, географску дистрибуцију, доспећа, структуру валута и каматних стопа (фиксне, варијабилне, бескаматне);</w:t>
      </w:r>
    </w:p>
    <w:p w:rsidR="0089042F" w:rsidRPr="006E2C0D" w:rsidRDefault="0089042F" w:rsidP="006E2C0D">
      <w:pPr>
        <w:pStyle w:val="ListParagraph"/>
        <w:numPr>
          <w:ilvl w:val="1"/>
          <w:numId w:val="21"/>
        </w:numPr>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опис политика, методологија и процедура у вези са свим ставкама наведеним у овој техничкој спецификацији;</w:t>
      </w:r>
    </w:p>
    <w:p w:rsidR="0089042F" w:rsidRPr="006E2C0D" w:rsidRDefault="0089042F" w:rsidP="006E2C0D">
      <w:pPr>
        <w:pStyle w:val="ListParagraph"/>
        <w:numPr>
          <w:ilvl w:val="1"/>
          <w:numId w:val="21"/>
        </w:numPr>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спецификацију свих исправки које Изабрани понуђач сматра неопходним, заједно са кратким објашњењима (нпр. измене класификације активе, рачуноводствених и регулаторних резерви, процена вредности средстава обезбеђења и обрачуна камата код изложености </w:t>
      </w:r>
      <w:proofErr w:type="spellStart"/>
      <w:r w:rsidRPr="006E2C0D">
        <w:rPr>
          <w:rFonts w:ascii="Times New Roman" w:eastAsia="Droid Sans Fallback" w:hAnsi="Times New Roman" w:cs="Calibri"/>
          <w:bCs/>
          <w:kern w:val="1"/>
          <w:sz w:val="24"/>
          <w:szCs w:val="24"/>
          <w:lang w:val="sr-Cyrl-RS" w:eastAsia="ar-SA"/>
        </w:rPr>
        <w:t>рекласификованих</w:t>
      </w:r>
      <w:proofErr w:type="spellEnd"/>
      <w:r w:rsidRPr="006E2C0D">
        <w:rPr>
          <w:rFonts w:ascii="Times New Roman" w:eastAsia="Droid Sans Fallback" w:hAnsi="Times New Roman" w:cs="Calibri"/>
          <w:bCs/>
          <w:kern w:val="1"/>
          <w:sz w:val="24"/>
          <w:szCs w:val="24"/>
          <w:lang w:val="sr-Cyrl-RS" w:eastAsia="ar-SA"/>
        </w:rPr>
        <w:t xml:space="preserve"> као проблематичних или под надзором); и </w:t>
      </w:r>
    </w:p>
    <w:p w:rsidR="0089042F" w:rsidRPr="006E2C0D" w:rsidRDefault="0089042F" w:rsidP="006E2C0D">
      <w:pPr>
        <w:pStyle w:val="ListParagraph"/>
        <w:numPr>
          <w:ilvl w:val="1"/>
          <w:numId w:val="21"/>
        </w:numPr>
        <w:spacing w:after="0" w:line="240" w:lineRule="auto"/>
        <w:ind w:left="0" w:firstLine="1134"/>
        <w:jc w:val="both"/>
        <w:rPr>
          <w:rFonts w:ascii="Times New Roman" w:eastAsia="Droid Sans Fallback" w:hAnsi="Times New Roman" w:cs="Calibri"/>
          <w:bCs/>
          <w:kern w:val="1"/>
          <w:sz w:val="24"/>
          <w:szCs w:val="24"/>
          <w:lang w:val="sr-Cyrl-RS" w:eastAsia="ar-SA"/>
        </w:rPr>
      </w:pPr>
      <w:proofErr w:type="spellStart"/>
      <w:r w:rsidRPr="006E2C0D">
        <w:rPr>
          <w:rFonts w:ascii="Times New Roman" w:eastAsia="Droid Sans Fallback" w:hAnsi="Times New Roman" w:cs="Calibri"/>
          <w:bCs/>
          <w:kern w:val="1"/>
          <w:sz w:val="24"/>
          <w:szCs w:val="24"/>
          <w:lang w:val="sr-Cyrl-RS" w:eastAsia="ar-SA"/>
        </w:rPr>
        <w:t>квантификацију</w:t>
      </w:r>
      <w:proofErr w:type="spellEnd"/>
      <w:r w:rsidRPr="006E2C0D">
        <w:rPr>
          <w:rFonts w:ascii="Times New Roman" w:eastAsia="Droid Sans Fallback" w:hAnsi="Times New Roman" w:cs="Calibri"/>
          <w:bCs/>
          <w:kern w:val="1"/>
          <w:sz w:val="24"/>
          <w:szCs w:val="24"/>
          <w:lang w:val="sr-Cyrl-RS" w:eastAsia="ar-SA"/>
        </w:rPr>
        <w:t xml:space="preserve"> утицаја идентификованих исправки на финансијске позиције у складу са МСФИ и Стандардима извештавања, укључујући и: (а) прецизирање додатних капиталних захтева, уколико их има: и (б) детаљно усклађивање између појединачних или консолидованих (у зависности од случаја) финансијских извештаја припремљених у складу са МСФИ и оних припремљених у складу са Стандардима извештавања. </w:t>
      </w:r>
    </w:p>
    <w:p w:rsidR="0089042F" w:rsidRPr="006E2C0D" w:rsidRDefault="0089042F" w:rsidP="006E2C0D">
      <w:pPr>
        <w:pStyle w:val="ListParagraph"/>
        <w:numPr>
          <w:ilvl w:val="0"/>
          <w:numId w:val="34"/>
        </w:numPr>
        <w:tabs>
          <w:tab w:val="left" w:pos="90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Наручилац задржава право да у року од двадесет једног (21) дана од дана пријема нацрта детаљног извештаја достави Изабраном понуђачу захтеве за корекцијама, пружањем додатних појашњења / података и томе слично, све у оквиру предметне техничке спецификације, а Изабрани понуђач је дужан да у даљњем року од четрнаест (14) дана достави Наручиоцу коначни детаљни извештај.</w:t>
      </w:r>
    </w:p>
    <w:p w:rsidR="0089042F" w:rsidRPr="006E2C0D" w:rsidRDefault="0089042F" w:rsidP="006E2C0D">
      <w:pPr>
        <w:pStyle w:val="ListParagraph"/>
        <w:numPr>
          <w:ilvl w:val="0"/>
          <w:numId w:val="36"/>
        </w:numPr>
        <w:tabs>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Изабрани понуђач ће се састајати периодично са представницима Наручиоца у циљу извештавања о напретку и разматрања других релевантних ставки (минимално у вези са другим класама активе Фонда које захтевају пажњу, нпр. капитална учешћа и/или остала средства са нестандардним профилима ликвидности која могу захтевати значајне исправке вредности) како буде напредовала реализација услуга саветовања. </w:t>
      </w:r>
    </w:p>
    <w:p w:rsidR="0089042F" w:rsidRPr="006E2C0D" w:rsidRDefault="0089042F" w:rsidP="006E2C0D">
      <w:pPr>
        <w:spacing w:after="0" w:line="240" w:lineRule="auto"/>
        <w:ind w:firstLine="1134"/>
        <w:contextualSpacing/>
        <w:rPr>
          <w:rFonts w:ascii="Times New Roman" w:eastAsia="Droid Sans Fallback" w:hAnsi="Times New Roman" w:cs="Calibri"/>
          <w:b/>
          <w:bCs/>
          <w:kern w:val="1"/>
          <w:sz w:val="24"/>
          <w:szCs w:val="24"/>
          <w:lang w:val="sr-Cyrl-RS" w:eastAsia="ar-SA"/>
        </w:rPr>
      </w:pPr>
      <w:r w:rsidRPr="006E2C0D">
        <w:rPr>
          <w:rFonts w:ascii="Times New Roman" w:eastAsia="Droid Sans Fallback" w:hAnsi="Times New Roman" w:cs="Calibri"/>
          <w:b/>
          <w:bCs/>
          <w:kern w:val="1"/>
          <w:sz w:val="24"/>
          <w:szCs w:val="24"/>
          <w:lang w:val="sr-Cyrl-RS" w:eastAsia="ar-SA"/>
        </w:rPr>
        <w:t>Ђ. Измена захтева</w:t>
      </w:r>
    </w:p>
    <w:p w:rsidR="0089042F" w:rsidRPr="006E2C0D" w:rsidRDefault="0089042F" w:rsidP="006E2C0D">
      <w:pPr>
        <w:pStyle w:val="ListParagraph"/>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Било које предвиђене измене стандарда извештавања и осталих захтева успостављених у овој техничкој спецификацији које за циљ имају ефикаснију употребу средстава Изабраног понуђача, без угрожавања циља ове студије, биће разматране заједно са Наручиоцем пре </w:t>
      </w:r>
      <w:proofErr w:type="spellStart"/>
      <w:r w:rsidRPr="006E2C0D">
        <w:rPr>
          <w:rFonts w:ascii="Times New Roman" w:eastAsia="Droid Sans Fallback" w:hAnsi="Times New Roman" w:cs="Calibri"/>
          <w:bCs/>
          <w:kern w:val="1"/>
          <w:sz w:val="24"/>
          <w:szCs w:val="24"/>
          <w:lang w:val="sr-Cyrl-RS" w:eastAsia="ar-SA"/>
        </w:rPr>
        <w:t>финализације</w:t>
      </w:r>
      <w:proofErr w:type="spellEnd"/>
      <w:r w:rsidRPr="006E2C0D">
        <w:rPr>
          <w:rFonts w:ascii="Times New Roman" w:eastAsia="Droid Sans Fallback" w:hAnsi="Times New Roman" w:cs="Calibri"/>
          <w:bCs/>
          <w:kern w:val="1"/>
          <w:sz w:val="24"/>
          <w:szCs w:val="24"/>
          <w:lang w:val="sr-Cyrl-RS" w:eastAsia="ar-SA"/>
        </w:rPr>
        <w:t xml:space="preserve"> извештаја. </w:t>
      </w:r>
    </w:p>
    <w:p w:rsidR="0089042F" w:rsidRPr="006E2C0D" w:rsidRDefault="0089042F" w:rsidP="006E2C0D">
      <w:pPr>
        <w:ind w:firstLine="1134"/>
        <w:contextualSpacing/>
        <w:jc w:val="both"/>
        <w:rPr>
          <w:rFonts w:ascii="Times New Roman" w:eastAsia="Droid Sans Fallback" w:hAnsi="Times New Roman" w:cs="Calibri"/>
          <w:b/>
          <w:bCs/>
          <w:kern w:val="1"/>
          <w:sz w:val="24"/>
          <w:szCs w:val="24"/>
          <w:lang w:val="sr-Cyrl-RS" w:eastAsia="ar-SA"/>
        </w:rPr>
      </w:pPr>
      <w:r w:rsidRPr="006E2C0D">
        <w:rPr>
          <w:rFonts w:ascii="Times New Roman" w:eastAsia="Droid Sans Fallback" w:hAnsi="Times New Roman" w:cs="Calibri"/>
          <w:b/>
          <w:bCs/>
          <w:kern w:val="1"/>
          <w:sz w:val="24"/>
          <w:szCs w:val="24"/>
          <w:lang w:val="sr-Cyrl-RS" w:eastAsia="ar-SA"/>
        </w:rPr>
        <w:t>Е. Поверљивост</w:t>
      </w:r>
    </w:p>
    <w:p w:rsidR="0089042F" w:rsidRPr="006E2C0D" w:rsidRDefault="0089042F" w:rsidP="006E2C0D">
      <w:pPr>
        <w:pStyle w:val="ListParagraph"/>
        <w:numPr>
          <w:ilvl w:val="0"/>
          <w:numId w:val="33"/>
        </w:numPr>
        <w:tabs>
          <w:tab w:val="left" w:pos="990"/>
        </w:tab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 xml:space="preserve">Све у вези са радом Изабраног понуђача на овом задатку, укључујући и ову техничку спецификацију и све податке и документацију достављену Изабраном понуђачу, сматраће се строго поверљивим. Свим особама повезаним са Изабраним понуђачем, које имају приступ тим подацима или документацији, требало би назначити важност одржавања </w:t>
      </w:r>
      <w:r w:rsidRPr="006E2C0D">
        <w:rPr>
          <w:rFonts w:ascii="Times New Roman" w:eastAsia="Droid Sans Fallback" w:hAnsi="Times New Roman" w:cs="Calibri"/>
          <w:bCs/>
          <w:kern w:val="1"/>
          <w:sz w:val="24"/>
          <w:szCs w:val="24"/>
          <w:lang w:val="sr-Cyrl-RS" w:eastAsia="ar-SA"/>
        </w:rPr>
        <w:lastRenderedPageBreak/>
        <w:t xml:space="preserve">потпуне и строге поверљивости. Изабрани понуђач неће, без претходне писане сагласности Наручиоца, дискутовати о резултатима услуга саветовања са трећим лицима. </w:t>
      </w:r>
    </w:p>
    <w:p w:rsidR="0089042F" w:rsidRPr="006E2C0D" w:rsidRDefault="0089042F" w:rsidP="006E2C0D">
      <w:pPr>
        <w:pStyle w:val="ListParagraph"/>
        <w:numPr>
          <w:ilvl w:val="0"/>
          <w:numId w:val="33"/>
        </w:numPr>
        <w:tabs>
          <w:tab w:val="left" w:pos="990"/>
        </w:tabs>
        <w:suppressAutoHyphens/>
        <w:spacing w:after="0" w:line="240" w:lineRule="auto"/>
        <w:ind w:left="0" w:firstLine="1134"/>
        <w:jc w:val="both"/>
        <w:rPr>
          <w:rFonts w:ascii="Times New Roman" w:eastAsia="Droid Sans Fallback" w:hAnsi="Times New Roman" w:cs="Calibri"/>
          <w:bCs/>
          <w:kern w:val="1"/>
          <w:sz w:val="24"/>
          <w:szCs w:val="24"/>
          <w:lang w:val="sr-Cyrl-RS" w:eastAsia="ar-SA"/>
        </w:rPr>
      </w:pPr>
      <w:r w:rsidRPr="006E2C0D">
        <w:rPr>
          <w:rFonts w:ascii="Times New Roman" w:eastAsia="Droid Sans Fallback" w:hAnsi="Times New Roman" w:cs="Calibri"/>
          <w:bCs/>
          <w:kern w:val="1"/>
          <w:sz w:val="24"/>
          <w:szCs w:val="24"/>
          <w:lang w:val="sr-Cyrl-RS" w:eastAsia="ar-SA"/>
        </w:rPr>
        <w:t>Према сопственом нахођењу, Наручилац може одлучити да подели, на поверљивој основи, извештаје Изабраног понуђача (нацрте и коначне) са осталим институцијама Владе Републике Србије. Такође, од Изабраног понуђача може бити захтевано да се састане са представницима тих институција у циљу дискусије о садржајима извештаја. Текст у извештајима Изабраног понуђача који ограничава њихову употребу или објављивање садржаће/одражаваће одредбе из овог става.</w:t>
      </w:r>
    </w:p>
    <w:p w:rsidR="0017767C" w:rsidRPr="006E2C0D" w:rsidRDefault="0017767C" w:rsidP="006E2C0D">
      <w:pPr>
        <w:spacing w:after="0" w:line="240" w:lineRule="auto"/>
        <w:ind w:firstLine="1134"/>
        <w:jc w:val="both"/>
        <w:rPr>
          <w:rFonts w:ascii="Times New Roman" w:eastAsia="Calibri" w:hAnsi="Times New Roman" w:cs="Times New Roman"/>
          <w:b/>
          <w:sz w:val="24"/>
          <w:szCs w:val="24"/>
          <w:lang w:val="sr-Cyrl-RS"/>
        </w:rPr>
      </w:pPr>
      <w:r w:rsidRPr="006E2C0D">
        <w:rPr>
          <w:rFonts w:ascii="Times New Roman" w:eastAsia="Calibri" w:hAnsi="Times New Roman" w:cs="Times New Roman"/>
          <w:b/>
          <w:sz w:val="24"/>
          <w:szCs w:val="24"/>
          <w:lang w:val="sr-Cyrl-RS"/>
        </w:rPr>
        <w:t xml:space="preserve">Рок и начин плаћања </w:t>
      </w:r>
    </w:p>
    <w:p w:rsidR="006E2C0D" w:rsidRPr="006E2C0D" w:rsidRDefault="006E2C0D" w:rsidP="006E2C0D">
      <w:pPr>
        <w:tabs>
          <w:tab w:val="left" w:pos="567"/>
        </w:tabs>
        <w:spacing w:after="0" w:line="240" w:lineRule="auto"/>
        <w:ind w:firstLine="1134"/>
        <w:jc w:val="both"/>
        <w:rPr>
          <w:rFonts w:ascii="Times New Roman" w:eastAsia="Times New Roman" w:hAnsi="Times New Roman" w:cs="Times New Roman"/>
          <w:sz w:val="24"/>
          <w:szCs w:val="24"/>
          <w:lang w:val="sr-Cyrl-RS"/>
        </w:rPr>
      </w:pPr>
      <w:r w:rsidRPr="006E2C0D">
        <w:rPr>
          <w:rFonts w:ascii="Times New Roman" w:eastAsia="Times New Roman" w:hAnsi="Times New Roman" w:cs="Times New Roman"/>
          <w:sz w:val="24"/>
          <w:szCs w:val="24"/>
          <w:lang w:val="sr-Cyrl-RS"/>
        </w:rPr>
        <w:t>Плаћање уговорене цене извршиће се у две транше, и то на следећи начин:</w:t>
      </w:r>
    </w:p>
    <w:p w:rsidR="006E2C0D" w:rsidRPr="006E2C0D" w:rsidRDefault="006E2C0D" w:rsidP="006E2C0D">
      <w:pPr>
        <w:pStyle w:val="ListParagraph"/>
        <w:numPr>
          <w:ilvl w:val="0"/>
          <w:numId w:val="39"/>
        </w:numPr>
        <w:tabs>
          <w:tab w:val="left" w:pos="567"/>
        </w:tabs>
        <w:spacing w:after="0" w:line="240" w:lineRule="auto"/>
        <w:ind w:left="0" w:firstLine="1134"/>
        <w:jc w:val="both"/>
        <w:rPr>
          <w:rFonts w:ascii="Times New Roman" w:eastAsia="Times New Roman" w:hAnsi="Times New Roman" w:cs="Times New Roman"/>
          <w:sz w:val="24"/>
          <w:szCs w:val="24"/>
          <w:lang w:val="sr-Cyrl-RS"/>
        </w:rPr>
      </w:pPr>
      <w:r w:rsidRPr="006E2C0D">
        <w:rPr>
          <w:rFonts w:ascii="Times New Roman" w:eastAsia="Times New Roman" w:hAnsi="Times New Roman" w:cs="Times New Roman"/>
          <w:sz w:val="24"/>
          <w:szCs w:val="24"/>
          <w:lang w:val="sr-Cyrl-RS"/>
        </w:rPr>
        <w:t>40% (словима: четрдесет процената) од укупно уговорене цене по достављању Извештаја о напретку, у којим ће се навести прелиминарни налази и кључни изазови са којима се Добављач сусрео,</w:t>
      </w:r>
    </w:p>
    <w:p w:rsidR="006E2C0D" w:rsidRPr="006E2C0D" w:rsidRDefault="006E2C0D" w:rsidP="006E2C0D">
      <w:pPr>
        <w:pStyle w:val="ListParagraph"/>
        <w:numPr>
          <w:ilvl w:val="0"/>
          <w:numId w:val="39"/>
        </w:numPr>
        <w:tabs>
          <w:tab w:val="left" w:pos="567"/>
        </w:tabs>
        <w:spacing w:after="0" w:line="240" w:lineRule="auto"/>
        <w:ind w:left="0" w:firstLine="1134"/>
        <w:jc w:val="both"/>
        <w:rPr>
          <w:rFonts w:ascii="Times New Roman" w:eastAsia="Times New Roman" w:hAnsi="Times New Roman" w:cs="Times New Roman"/>
          <w:sz w:val="24"/>
          <w:szCs w:val="24"/>
          <w:lang w:val="sr-Cyrl-RS"/>
        </w:rPr>
      </w:pPr>
      <w:r w:rsidRPr="006E2C0D">
        <w:rPr>
          <w:rFonts w:ascii="Times New Roman" w:eastAsia="Times New Roman" w:hAnsi="Times New Roman" w:cs="Times New Roman"/>
          <w:sz w:val="24"/>
          <w:szCs w:val="24"/>
          <w:lang w:val="sr-Cyrl-RS"/>
        </w:rPr>
        <w:t xml:space="preserve">60 % (словима: шездесет процената) од укупно уговорене цене по достављању коначног извештаја, тј. Извештаја поводом резултата и налаза до којих је дошао приликом извршења услуга. </w:t>
      </w:r>
    </w:p>
    <w:p w:rsidR="00A67D20" w:rsidRPr="006E2C0D" w:rsidRDefault="00A67D20" w:rsidP="006E2C0D">
      <w:pPr>
        <w:tabs>
          <w:tab w:val="left" w:pos="720"/>
        </w:tabs>
        <w:suppressAutoHyphens/>
        <w:spacing w:after="0" w:line="240" w:lineRule="auto"/>
        <w:ind w:firstLine="1134"/>
        <w:jc w:val="both"/>
        <w:rPr>
          <w:rFonts w:ascii="Times New Roman" w:eastAsia="Calibri" w:hAnsi="Times New Roman" w:cs="Times New Roman"/>
          <w:sz w:val="24"/>
          <w:szCs w:val="24"/>
          <w:lang w:val="sr-Cyrl-RS"/>
        </w:rPr>
      </w:pPr>
      <w:r w:rsidRPr="006E2C0D">
        <w:rPr>
          <w:rFonts w:ascii="Times New Roman" w:eastAsia="Calibri" w:hAnsi="Times New Roman" w:cs="Times New Roman"/>
          <w:sz w:val="24"/>
          <w:szCs w:val="24"/>
          <w:lang w:val="sr-Cyrl-RS"/>
        </w:rPr>
        <w:t>Извештај ће бити прихваћен уколико је израђен у роковима</w:t>
      </w:r>
      <w:r w:rsidR="00C97856" w:rsidRPr="006E2C0D">
        <w:rPr>
          <w:rFonts w:ascii="Times New Roman" w:eastAsia="Calibri" w:hAnsi="Times New Roman" w:cs="Times New Roman"/>
          <w:sz w:val="24"/>
          <w:szCs w:val="24"/>
          <w:lang w:val="sr-Cyrl-RS"/>
        </w:rPr>
        <w:t xml:space="preserve"> и на начин</w:t>
      </w:r>
      <w:r w:rsidRPr="006E2C0D">
        <w:rPr>
          <w:rFonts w:ascii="Times New Roman" w:eastAsia="Calibri" w:hAnsi="Times New Roman" w:cs="Times New Roman"/>
          <w:sz w:val="24"/>
          <w:szCs w:val="24"/>
          <w:lang w:val="sr-Cyrl-RS"/>
        </w:rPr>
        <w:t xml:space="preserve"> одређе</w:t>
      </w:r>
      <w:r w:rsidR="00C97856" w:rsidRPr="006E2C0D">
        <w:rPr>
          <w:rFonts w:ascii="Times New Roman" w:eastAsia="Calibri" w:hAnsi="Times New Roman" w:cs="Times New Roman"/>
          <w:sz w:val="24"/>
          <w:szCs w:val="24"/>
          <w:lang w:val="sr-Cyrl-RS"/>
        </w:rPr>
        <w:t>н</w:t>
      </w:r>
      <w:r w:rsidRPr="006E2C0D">
        <w:rPr>
          <w:rFonts w:ascii="Times New Roman" w:eastAsia="Calibri" w:hAnsi="Times New Roman" w:cs="Times New Roman"/>
          <w:sz w:val="24"/>
          <w:szCs w:val="24"/>
          <w:lang w:val="sr-Cyrl-RS"/>
        </w:rPr>
        <w:t xml:space="preserve"> техничком спецификацијом, те прихват истог неће зависити од самих закључака Извештаја већ од чињенице да ли су резултати истог припремљени на адекватно квалитативном нивоу, сходно концепцијским захтевима из поменутих докумената.</w:t>
      </w:r>
      <w:r w:rsidR="006E2C0D" w:rsidRPr="006E2C0D">
        <w:rPr>
          <w:rFonts w:ascii="Times New Roman" w:eastAsia="Calibri" w:hAnsi="Times New Roman" w:cs="Times New Roman"/>
          <w:sz w:val="24"/>
          <w:szCs w:val="24"/>
          <w:lang w:val="sr-Cyrl-RS"/>
        </w:rPr>
        <w:t xml:space="preserve"> </w:t>
      </w:r>
      <w:r w:rsidR="0017767C" w:rsidRPr="006E2C0D">
        <w:rPr>
          <w:rFonts w:ascii="Times New Roman" w:eastAsia="Calibri" w:hAnsi="Times New Roman" w:cs="Times New Roman"/>
          <w:sz w:val="24"/>
          <w:szCs w:val="24"/>
          <w:lang w:val="sr-Cyrl-RS"/>
        </w:rPr>
        <w:t>Рок плаћања не може бити краћи од 15 (петнаест) нити дужи од 45 (четрдесет</w:t>
      </w:r>
      <w:r w:rsidR="00F208CC">
        <w:rPr>
          <w:rFonts w:ascii="Times New Roman" w:eastAsia="Calibri" w:hAnsi="Times New Roman" w:cs="Times New Roman"/>
          <w:sz w:val="24"/>
          <w:szCs w:val="24"/>
          <w:lang w:val="sr-Cyrl-RS"/>
        </w:rPr>
        <w:t xml:space="preserve"> </w:t>
      </w:r>
      <w:r w:rsidR="0017767C" w:rsidRPr="006E2C0D">
        <w:rPr>
          <w:rFonts w:ascii="Times New Roman" w:eastAsia="Calibri" w:hAnsi="Times New Roman" w:cs="Times New Roman"/>
          <w:sz w:val="24"/>
          <w:szCs w:val="24"/>
          <w:lang w:val="sr-Cyrl-RS"/>
        </w:rPr>
        <w:t xml:space="preserve">пет) дана од дана службеног пријема рачуна/фактуре, достављене у складу са важећим прописима који уређују издавање, слање, пријем, обраду, чување, садржину и елементе електронских фактура, а којим ће бити обухваћене услуге пружене у претходном месецу у складу са важећим прописима. Плаћање се врши уплатом на рачун понуђача. Понуђачу није дозвољено да захтева аванс. </w:t>
      </w:r>
      <w:r w:rsidRPr="006E2C0D">
        <w:rPr>
          <w:rFonts w:ascii="Times New Roman" w:eastAsia="Calibri" w:hAnsi="Times New Roman" w:cs="Times New Roman"/>
          <w:sz w:val="24"/>
          <w:szCs w:val="24"/>
          <w:lang w:val="sr-Cyrl-RS"/>
        </w:rPr>
        <w:t>Р</w:t>
      </w:r>
      <w:r w:rsidR="0017767C" w:rsidRPr="006E2C0D">
        <w:rPr>
          <w:rFonts w:ascii="Times New Roman" w:eastAsia="Calibri" w:hAnsi="Times New Roman" w:cs="Times New Roman"/>
          <w:sz w:val="24"/>
          <w:szCs w:val="24"/>
          <w:lang w:val="sr-Cyrl-RS"/>
        </w:rPr>
        <w:t xml:space="preserve">ачун  мора садржати број и датум закључења уговора, а мора бити и регистрован у систему електронских фактуру у складу са Правилником о начину и поступку регистровања за приступ систему електронских фактура, начину приступања и коришћења система електронских фактура и начину коришћења података који су доступни у систему електронских фактура („Службени гласник </w:t>
      </w:r>
      <w:proofErr w:type="spellStart"/>
      <w:r w:rsidR="0017767C" w:rsidRPr="006E2C0D">
        <w:rPr>
          <w:rFonts w:ascii="Times New Roman" w:eastAsia="Calibri" w:hAnsi="Times New Roman" w:cs="Times New Roman"/>
          <w:sz w:val="24"/>
          <w:szCs w:val="24"/>
          <w:lang w:val="sr-Cyrl-RS"/>
        </w:rPr>
        <w:t>РСˮ</w:t>
      </w:r>
      <w:proofErr w:type="spellEnd"/>
      <w:r w:rsidR="0017767C" w:rsidRPr="006E2C0D">
        <w:rPr>
          <w:rFonts w:ascii="Times New Roman" w:eastAsia="Calibri" w:hAnsi="Times New Roman" w:cs="Times New Roman"/>
          <w:sz w:val="24"/>
          <w:szCs w:val="24"/>
          <w:lang w:val="sr-Cyrl-RS"/>
        </w:rPr>
        <w:t xml:space="preserve">, бр. 69/21, 132/21 и 46/22). </w:t>
      </w:r>
    </w:p>
    <w:p w:rsidR="0017767C" w:rsidRPr="006E2C0D" w:rsidRDefault="0017767C" w:rsidP="006E2C0D">
      <w:pPr>
        <w:spacing w:after="0" w:line="240" w:lineRule="auto"/>
        <w:ind w:firstLine="1134"/>
        <w:contextualSpacing/>
        <w:rPr>
          <w:rFonts w:ascii="Times New Roman" w:eastAsia="Calibri" w:hAnsi="Times New Roman" w:cs="Times New Roman"/>
          <w:b/>
          <w:sz w:val="24"/>
          <w:szCs w:val="24"/>
          <w:lang w:val="sr-Cyrl-RS"/>
        </w:rPr>
      </w:pPr>
      <w:r w:rsidRPr="006E2C0D">
        <w:rPr>
          <w:rFonts w:ascii="Times New Roman" w:eastAsia="Calibri" w:hAnsi="Times New Roman" w:cs="Times New Roman"/>
          <w:b/>
          <w:sz w:val="24"/>
          <w:szCs w:val="24"/>
          <w:lang w:val="sr-Cyrl-RS"/>
        </w:rPr>
        <w:t>Захтев у погледу рока важења понуде</w:t>
      </w:r>
    </w:p>
    <w:p w:rsidR="0017767C" w:rsidRPr="006E2C0D" w:rsidRDefault="0017767C" w:rsidP="006E2C0D">
      <w:pPr>
        <w:spacing w:after="0" w:line="240" w:lineRule="auto"/>
        <w:ind w:firstLine="1134"/>
        <w:jc w:val="both"/>
        <w:rPr>
          <w:rFonts w:ascii="Times New Roman" w:eastAsia="Calibri" w:hAnsi="Times New Roman" w:cs="Times New Roman"/>
          <w:iCs/>
          <w:sz w:val="24"/>
          <w:szCs w:val="24"/>
          <w:lang w:val="sr-Cyrl-RS"/>
        </w:rPr>
      </w:pPr>
      <w:r w:rsidRPr="006E2C0D">
        <w:rPr>
          <w:rFonts w:ascii="Times New Roman" w:eastAsia="Calibri" w:hAnsi="Times New Roman" w:cs="Times New Roman"/>
          <w:iCs/>
          <w:sz w:val="24"/>
          <w:szCs w:val="24"/>
          <w:lang w:val="sr-Cyrl-RS"/>
        </w:rPr>
        <w:t>Рок важења понуде не може бити краћи од 60 дана од дана отварања понуда.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на може мењати понуду.</w:t>
      </w:r>
    </w:p>
    <w:p w:rsidR="0017767C" w:rsidRPr="006E2C0D" w:rsidRDefault="0017767C" w:rsidP="006E2C0D">
      <w:pPr>
        <w:spacing w:after="0" w:line="240" w:lineRule="auto"/>
        <w:ind w:firstLine="1134"/>
        <w:contextualSpacing/>
        <w:rPr>
          <w:rFonts w:ascii="Times New Roman" w:eastAsia="Calibri" w:hAnsi="Times New Roman" w:cs="Times New Roman"/>
          <w:b/>
          <w:sz w:val="24"/>
          <w:szCs w:val="24"/>
          <w:lang w:val="sr-Cyrl-RS"/>
        </w:rPr>
      </w:pPr>
      <w:r w:rsidRPr="006E2C0D">
        <w:rPr>
          <w:rFonts w:ascii="Times New Roman" w:eastAsia="Calibri" w:hAnsi="Times New Roman" w:cs="Times New Roman"/>
          <w:b/>
          <w:sz w:val="24"/>
          <w:szCs w:val="24"/>
          <w:lang w:val="sr-Cyrl-RS"/>
        </w:rPr>
        <w:t>Валута и начин на који мора да буде наведена и изражена цена у понуди</w:t>
      </w:r>
    </w:p>
    <w:p w:rsidR="0017767C" w:rsidRDefault="0017767C" w:rsidP="006E2C0D">
      <w:pPr>
        <w:spacing w:after="0" w:line="240" w:lineRule="auto"/>
        <w:ind w:firstLine="1134"/>
        <w:jc w:val="both"/>
        <w:rPr>
          <w:rFonts w:ascii="Times New Roman" w:eastAsia="Calibri" w:hAnsi="Times New Roman" w:cs="Times New Roman"/>
          <w:iCs/>
          <w:sz w:val="24"/>
          <w:szCs w:val="24"/>
          <w:lang w:val="sr-Cyrl-RS"/>
        </w:rPr>
      </w:pPr>
      <w:r w:rsidRPr="006E2C0D">
        <w:rPr>
          <w:rFonts w:ascii="Times New Roman" w:eastAsia="Calibri" w:hAnsi="Times New Roman" w:cs="Times New Roman"/>
          <w:iCs/>
          <w:sz w:val="24"/>
          <w:szCs w:val="24"/>
          <w:lang w:val="sr-Cyrl-RS"/>
        </w:rPr>
        <w:t xml:space="preserve">Цена мора бити исказана у динарима, са и без припадајућег износа пореза, са урачунатим свим трошковима које понуђач има на било који начин у вези са реализацијом предметне јавне набавке. Цена је фиксна и не може се мењати. Приликом оцене (упоређивања) понуда као релевантна узима се понуђена цена без припадајућег износа пореза. У случају неуобичајено ниске цене Наручилац ће поступити на начин предвиђен чланом 143. Закона, те ће исту, зависно од квалитета образложења и аргументације понуђача може да прихвати или одбије. </w:t>
      </w:r>
    </w:p>
    <w:p w:rsidR="006E2C0D" w:rsidRDefault="006E2C0D" w:rsidP="006E2C0D">
      <w:pPr>
        <w:spacing w:after="0" w:line="240" w:lineRule="auto"/>
        <w:ind w:firstLine="1134"/>
        <w:jc w:val="both"/>
        <w:rPr>
          <w:rFonts w:ascii="Times New Roman" w:eastAsia="Calibri" w:hAnsi="Times New Roman" w:cs="Times New Roman"/>
          <w:iCs/>
          <w:sz w:val="24"/>
          <w:szCs w:val="24"/>
          <w:lang w:val="sr-Cyrl-RS"/>
        </w:rPr>
      </w:pPr>
    </w:p>
    <w:p w:rsidR="006E2C0D" w:rsidRDefault="006E2C0D" w:rsidP="006E2C0D">
      <w:pPr>
        <w:spacing w:after="0" w:line="240" w:lineRule="auto"/>
        <w:ind w:firstLine="1134"/>
        <w:jc w:val="both"/>
        <w:rPr>
          <w:rFonts w:ascii="Times New Roman" w:eastAsia="Calibri" w:hAnsi="Times New Roman" w:cs="Times New Roman"/>
          <w:iCs/>
          <w:sz w:val="24"/>
          <w:szCs w:val="24"/>
          <w:lang w:val="sr-Cyrl-RS"/>
        </w:rPr>
      </w:pPr>
    </w:p>
    <w:p w:rsidR="006E2C0D" w:rsidRPr="006E2C0D" w:rsidRDefault="006E2C0D" w:rsidP="006E2C0D">
      <w:pPr>
        <w:spacing w:after="0" w:line="240" w:lineRule="auto"/>
        <w:ind w:firstLine="1134"/>
        <w:jc w:val="both"/>
        <w:rPr>
          <w:rFonts w:ascii="Times New Roman" w:eastAsia="Calibri" w:hAnsi="Times New Roman" w:cs="Times New Roman"/>
          <w:iCs/>
          <w:sz w:val="24"/>
          <w:szCs w:val="24"/>
          <w:lang w:val="sr-Cyrl-RS"/>
        </w:rPr>
      </w:pPr>
    </w:p>
    <w:p w:rsidR="0017767C" w:rsidRPr="006E2C0D" w:rsidRDefault="0017767C" w:rsidP="006E2C0D">
      <w:pPr>
        <w:tabs>
          <w:tab w:val="left" w:pos="180"/>
        </w:tabs>
        <w:spacing w:after="0" w:line="240" w:lineRule="auto"/>
        <w:ind w:firstLine="1134"/>
        <w:contextualSpacing/>
        <w:rPr>
          <w:rFonts w:ascii="Times New Roman" w:eastAsia="Calibri" w:hAnsi="Times New Roman" w:cs="Times New Roman"/>
          <w:b/>
          <w:sz w:val="24"/>
          <w:szCs w:val="24"/>
          <w:lang w:val="sr-Cyrl-RS"/>
        </w:rPr>
      </w:pPr>
      <w:r w:rsidRPr="006E2C0D">
        <w:rPr>
          <w:rFonts w:ascii="Times New Roman" w:eastAsia="Calibri" w:hAnsi="Times New Roman" w:cs="Times New Roman"/>
          <w:b/>
          <w:sz w:val="24"/>
          <w:szCs w:val="24"/>
          <w:lang w:val="sr-Cyrl-RS"/>
        </w:rPr>
        <w:lastRenderedPageBreak/>
        <w:t>Средства финансијског обезбеђења</w:t>
      </w:r>
    </w:p>
    <w:p w:rsidR="0017767C" w:rsidRPr="006E2C0D" w:rsidRDefault="0017767C" w:rsidP="006E2C0D">
      <w:pPr>
        <w:spacing w:after="0" w:line="240" w:lineRule="auto"/>
        <w:ind w:firstLine="1134"/>
        <w:jc w:val="both"/>
        <w:rPr>
          <w:rFonts w:ascii="Times New Roman" w:eastAsia="Calibri" w:hAnsi="Times New Roman" w:cs="Times New Roman"/>
          <w:b/>
          <w:bCs/>
          <w:i/>
          <w:iCs/>
          <w:sz w:val="24"/>
          <w:szCs w:val="24"/>
          <w:lang w:val="sr-Cyrl-RS"/>
        </w:rPr>
      </w:pPr>
      <w:r w:rsidRPr="006E2C0D">
        <w:rPr>
          <w:rFonts w:ascii="Times New Roman" w:eastAsia="Calibri" w:hAnsi="Times New Roman" w:cs="Times New Roman"/>
          <w:b/>
          <w:bCs/>
          <w:i/>
          <w:iCs/>
          <w:sz w:val="24"/>
          <w:szCs w:val="24"/>
          <w:lang w:val="sr-Cyrl-RS"/>
        </w:rPr>
        <w:t xml:space="preserve">Банкарска гаранција за испуњење уговорних обавеза </w:t>
      </w:r>
    </w:p>
    <w:p w:rsidR="0017767C" w:rsidRPr="006E2C0D" w:rsidRDefault="0017767C" w:rsidP="006E2C0D">
      <w:pPr>
        <w:spacing w:after="0" w:line="240" w:lineRule="auto"/>
        <w:ind w:firstLine="1134"/>
        <w:jc w:val="both"/>
        <w:rPr>
          <w:rFonts w:ascii="Times New Roman" w:eastAsia="Arial Unicode MS" w:hAnsi="Times New Roman" w:cs="Times New Roman"/>
          <w:color w:val="000000"/>
          <w:kern w:val="2"/>
          <w:sz w:val="24"/>
          <w:szCs w:val="24"/>
          <w:lang w:val="sr-Cyrl-RS" w:eastAsia="ar-SA"/>
        </w:rPr>
      </w:pPr>
      <w:r w:rsidRPr="006E2C0D">
        <w:rPr>
          <w:rFonts w:ascii="Times New Roman" w:eastAsia="Calibri" w:hAnsi="Times New Roman" w:cs="Times New Roman"/>
          <w:bCs/>
          <w:iCs/>
          <w:sz w:val="24"/>
          <w:szCs w:val="24"/>
          <w:lang w:val="sr-Cyrl-RS"/>
        </w:rPr>
        <w:t xml:space="preserve">Изабрани понуђач је дужан да у тренутку закључења уговора преда Наручиоцу, као средство финансијског обезбеђења за испуњење уговорних обавеза </w:t>
      </w:r>
      <w:r w:rsidRPr="006E2C0D">
        <w:rPr>
          <w:rFonts w:ascii="Times New Roman" w:eastAsia="Arial Unicode MS" w:hAnsi="Times New Roman" w:cs="Times New Roman"/>
          <w:color w:val="000000"/>
          <w:kern w:val="2"/>
          <w:sz w:val="24"/>
          <w:szCs w:val="24"/>
          <w:lang w:val="sr-Cyrl-RS" w:eastAsia="ar-SA"/>
        </w:rPr>
        <w:t xml:space="preserve">оригинал банкарску гаранцију за испуњење уговорних обавеза у висини од 10% (словима: десет процената) од укупно уговорене цене без ПДВ-а, која траје најмање 30 (словима: тридесет) дана дуже од дана истека рока важности овог уговора. Поднета банкарска гаранција мора поседовати клаузулу да је безусловна, неопозива и платива на први позив, без приговора. Поднета банкарска гаранција не може да садржи додатне услове за исплату, краће рокове, мањи износ или промењену месну надлежност за решавање спорова. По завршеном послу Наручилац ће предметно средство обезбеђења вратити Добављачу на његов писани захтев. </w:t>
      </w:r>
    </w:p>
    <w:p w:rsidR="0017767C" w:rsidRPr="006E2C0D" w:rsidRDefault="0017767C" w:rsidP="006E2C0D">
      <w:pPr>
        <w:tabs>
          <w:tab w:val="left" w:pos="567"/>
        </w:tabs>
        <w:spacing w:after="0" w:line="240" w:lineRule="auto"/>
        <w:jc w:val="both"/>
        <w:rPr>
          <w:rFonts w:ascii="Times New Roman" w:eastAsia="Times New Roman" w:hAnsi="Times New Roman" w:cs="Times New Roman"/>
          <w:sz w:val="24"/>
          <w:szCs w:val="24"/>
          <w:lang w:val="sr-Cyrl-RS"/>
        </w:rPr>
      </w:pPr>
    </w:p>
    <w:p w:rsidR="0017767C" w:rsidRPr="006E2C0D" w:rsidRDefault="0017767C" w:rsidP="006E2C0D">
      <w:pPr>
        <w:tabs>
          <w:tab w:val="left" w:pos="567"/>
        </w:tabs>
        <w:spacing w:after="0" w:line="240" w:lineRule="auto"/>
        <w:jc w:val="both"/>
        <w:rPr>
          <w:rFonts w:ascii="Times New Roman" w:eastAsia="Times New Roman" w:hAnsi="Times New Roman" w:cs="Times New Roman"/>
          <w:sz w:val="24"/>
          <w:szCs w:val="24"/>
          <w:lang w:val="sr-Cyrl-RS"/>
        </w:rPr>
      </w:pPr>
    </w:p>
    <w:p w:rsidR="0017767C" w:rsidRPr="006E2C0D" w:rsidRDefault="0017767C" w:rsidP="006E2C0D">
      <w:pPr>
        <w:tabs>
          <w:tab w:val="left" w:pos="567"/>
        </w:tabs>
        <w:spacing w:after="0" w:line="240" w:lineRule="auto"/>
        <w:jc w:val="both"/>
        <w:rPr>
          <w:rFonts w:ascii="Times New Roman" w:eastAsia="Times New Roman" w:hAnsi="Times New Roman" w:cs="Times New Roman"/>
          <w:sz w:val="24"/>
          <w:szCs w:val="24"/>
          <w:lang w:val="sr-Cyrl-RS"/>
        </w:rPr>
      </w:pPr>
    </w:p>
    <w:p w:rsidR="0017767C" w:rsidRPr="006E2C0D" w:rsidRDefault="0017767C" w:rsidP="006E2C0D">
      <w:pPr>
        <w:tabs>
          <w:tab w:val="left" w:pos="567"/>
        </w:tabs>
        <w:spacing w:after="0" w:line="240" w:lineRule="auto"/>
        <w:jc w:val="both"/>
        <w:rPr>
          <w:rFonts w:ascii="Times New Roman" w:eastAsia="Times New Roman" w:hAnsi="Times New Roman" w:cs="Times New Roman"/>
          <w:sz w:val="24"/>
          <w:szCs w:val="24"/>
          <w:lang w:val="sr-Cyrl-RS"/>
        </w:rPr>
      </w:pPr>
    </w:p>
    <w:p w:rsidR="0017767C" w:rsidRPr="006E2C0D" w:rsidRDefault="0017767C" w:rsidP="006E2C0D">
      <w:pPr>
        <w:tabs>
          <w:tab w:val="left" w:pos="567"/>
        </w:tabs>
        <w:spacing w:after="0" w:line="240" w:lineRule="auto"/>
        <w:jc w:val="both"/>
        <w:rPr>
          <w:rFonts w:ascii="Times New Roman" w:eastAsia="Times New Roman" w:hAnsi="Times New Roman" w:cs="Times New Roman"/>
          <w:sz w:val="24"/>
          <w:szCs w:val="24"/>
          <w:lang w:val="sr-Cyrl-RS"/>
        </w:rPr>
      </w:pPr>
    </w:p>
    <w:p w:rsidR="0017767C" w:rsidRPr="006E2C0D" w:rsidRDefault="0017767C" w:rsidP="006E2C0D">
      <w:pPr>
        <w:tabs>
          <w:tab w:val="left" w:pos="567"/>
        </w:tabs>
        <w:spacing w:after="0" w:line="240" w:lineRule="auto"/>
        <w:jc w:val="both"/>
        <w:rPr>
          <w:rFonts w:ascii="Times New Roman" w:eastAsia="Times New Roman" w:hAnsi="Times New Roman" w:cs="Times New Roman"/>
          <w:sz w:val="24"/>
          <w:szCs w:val="24"/>
          <w:lang w:val="sr-Cyrl-RS"/>
        </w:rPr>
      </w:pPr>
    </w:p>
    <w:p w:rsidR="002139A1" w:rsidRPr="006E2C0D" w:rsidRDefault="002139A1" w:rsidP="006E2C0D">
      <w:pPr>
        <w:spacing w:after="0" w:line="240" w:lineRule="auto"/>
        <w:jc w:val="both"/>
        <w:rPr>
          <w:rFonts w:ascii="Times New Roman" w:eastAsia="Arial Unicode MS" w:hAnsi="Times New Roman" w:cs="Times New Roman"/>
          <w:color w:val="000000"/>
          <w:kern w:val="1"/>
          <w:sz w:val="24"/>
          <w:szCs w:val="24"/>
          <w:lang w:val="sr-Cyrl-RS" w:eastAsia="ar-SA"/>
        </w:rPr>
      </w:pPr>
    </w:p>
    <w:sectPr w:rsidR="002139A1" w:rsidRPr="006E2C0D" w:rsidSect="006E2C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20C" w:rsidRDefault="008A220C" w:rsidP="0089042F">
      <w:pPr>
        <w:spacing w:after="0" w:line="240" w:lineRule="auto"/>
      </w:pPr>
      <w:r>
        <w:separator/>
      </w:r>
    </w:p>
  </w:endnote>
  <w:endnote w:type="continuationSeparator" w:id="0">
    <w:p w:rsidR="008A220C" w:rsidRDefault="008A220C" w:rsidP="0089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roid Sans Fallback">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20C" w:rsidRDefault="008A220C" w:rsidP="0089042F">
      <w:pPr>
        <w:spacing w:after="0" w:line="240" w:lineRule="auto"/>
      </w:pPr>
      <w:r>
        <w:separator/>
      </w:r>
    </w:p>
  </w:footnote>
  <w:footnote w:type="continuationSeparator" w:id="0">
    <w:p w:rsidR="008A220C" w:rsidRDefault="008A220C" w:rsidP="0089042F">
      <w:pPr>
        <w:spacing w:after="0" w:line="240" w:lineRule="auto"/>
      </w:pPr>
      <w:r>
        <w:continuationSeparator/>
      </w:r>
    </w:p>
  </w:footnote>
  <w:footnote w:id="1">
    <w:p w:rsidR="0089042F" w:rsidRPr="009C5191" w:rsidRDefault="0089042F" w:rsidP="0089042F">
      <w:pPr>
        <w:pStyle w:val="FootnoteText"/>
        <w:adjustRightInd/>
        <w:jc w:val="both"/>
        <w:rPr>
          <w:rFonts w:cs="Times New Roman"/>
          <w:i/>
          <w:sz w:val="18"/>
          <w:szCs w:val="18"/>
          <w:lang w:val="sr-Cyrl-R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04A2"/>
    <w:multiLevelType w:val="hybridMultilevel"/>
    <w:tmpl w:val="D86C5192"/>
    <w:lvl w:ilvl="0" w:tplc="00000001">
      <w:start w:val="1"/>
      <w:numFmt w:val="bullet"/>
      <w:lvlText w:val="•"/>
      <w:lvlJc w:val="left"/>
      <w:pPr>
        <w:ind w:left="1854" w:hanging="360"/>
      </w:pPr>
    </w:lvl>
    <w:lvl w:ilvl="1" w:tplc="241A0003" w:tentative="1">
      <w:start w:val="1"/>
      <w:numFmt w:val="bullet"/>
      <w:lvlText w:val="o"/>
      <w:lvlJc w:val="left"/>
      <w:pPr>
        <w:ind w:left="2574" w:hanging="360"/>
      </w:pPr>
      <w:rPr>
        <w:rFonts w:ascii="Courier New" w:hAnsi="Courier New" w:cs="Courier New" w:hint="default"/>
      </w:rPr>
    </w:lvl>
    <w:lvl w:ilvl="2" w:tplc="241A0005" w:tentative="1">
      <w:start w:val="1"/>
      <w:numFmt w:val="bullet"/>
      <w:lvlText w:val=""/>
      <w:lvlJc w:val="left"/>
      <w:pPr>
        <w:ind w:left="3294" w:hanging="360"/>
      </w:pPr>
      <w:rPr>
        <w:rFonts w:ascii="Wingdings" w:hAnsi="Wingdings" w:hint="default"/>
      </w:rPr>
    </w:lvl>
    <w:lvl w:ilvl="3" w:tplc="241A0001" w:tentative="1">
      <w:start w:val="1"/>
      <w:numFmt w:val="bullet"/>
      <w:lvlText w:val=""/>
      <w:lvlJc w:val="left"/>
      <w:pPr>
        <w:ind w:left="4014" w:hanging="360"/>
      </w:pPr>
      <w:rPr>
        <w:rFonts w:ascii="Symbol" w:hAnsi="Symbol" w:hint="default"/>
      </w:rPr>
    </w:lvl>
    <w:lvl w:ilvl="4" w:tplc="241A0003" w:tentative="1">
      <w:start w:val="1"/>
      <w:numFmt w:val="bullet"/>
      <w:lvlText w:val="o"/>
      <w:lvlJc w:val="left"/>
      <w:pPr>
        <w:ind w:left="4734" w:hanging="360"/>
      </w:pPr>
      <w:rPr>
        <w:rFonts w:ascii="Courier New" w:hAnsi="Courier New" w:cs="Courier New" w:hint="default"/>
      </w:rPr>
    </w:lvl>
    <w:lvl w:ilvl="5" w:tplc="241A0005" w:tentative="1">
      <w:start w:val="1"/>
      <w:numFmt w:val="bullet"/>
      <w:lvlText w:val=""/>
      <w:lvlJc w:val="left"/>
      <w:pPr>
        <w:ind w:left="5454" w:hanging="360"/>
      </w:pPr>
      <w:rPr>
        <w:rFonts w:ascii="Wingdings" w:hAnsi="Wingdings" w:hint="default"/>
      </w:rPr>
    </w:lvl>
    <w:lvl w:ilvl="6" w:tplc="241A0001" w:tentative="1">
      <w:start w:val="1"/>
      <w:numFmt w:val="bullet"/>
      <w:lvlText w:val=""/>
      <w:lvlJc w:val="left"/>
      <w:pPr>
        <w:ind w:left="6174" w:hanging="360"/>
      </w:pPr>
      <w:rPr>
        <w:rFonts w:ascii="Symbol" w:hAnsi="Symbol" w:hint="default"/>
      </w:rPr>
    </w:lvl>
    <w:lvl w:ilvl="7" w:tplc="241A0003" w:tentative="1">
      <w:start w:val="1"/>
      <w:numFmt w:val="bullet"/>
      <w:lvlText w:val="o"/>
      <w:lvlJc w:val="left"/>
      <w:pPr>
        <w:ind w:left="6894" w:hanging="360"/>
      </w:pPr>
      <w:rPr>
        <w:rFonts w:ascii="Courier New" w:hAnsi="Courier New" w:cs="Courier New" w:hint="default"/>
      </w:rPr>
    </w:lvl>
    <w:lvl w:ilvl="8" w:tplc="241A0005" w:tentative="1">
      <w:start w:val="1"/>
      <w:numFmt w:val="bullet"/>
      <w:lvlText w:val=""/>
      <w:lvlJc w:val="left"/>
      <w:pPr>
        <w:ind w:left="7614" w:hanging="360"/>
      </w:pPr>
      <w:rPr>
        <w:rFonts w:ascii="Wingdings" w:hAnsi="Wingdings" w:hint="default"/>
      </w:rPr>
    </w:lvl>
  </w:abstractNum>
  <w:abstractNum w:abstractNumId="1" w15:restartNumberingAfterBreak="0">
    <w:nsid w:val="059A107E"/>
    <w:multiLevelType w:val="hybridMultilevel"/>
    <w:tmpl w:val="CB9EE4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95235DA"/>
    <w:multiLevelType w:val="hybridMultilevel"/>
    <w:tmpl w:val="F39C37A4"/>
    <w:lvl w:ilvl="0" w:tplc="1FDE05B0">
      <w:start w:val="1"/>
      <w:numFmt w:val="decimal"/>
      <w:lvlText w:val="%1."/>
      <w:lvlJc w:val="left"/>
      <w:pPr>
        <w:ind w:left="63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B21682"/>
    <w:multiLevelType w:val="hybridMultilevel"/>
    <w:tmpl w:val="F542A442"/>
    <w:lvl w:ilvl="0" w:tplc="A934C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E23EBE"/>
    <w:multiLevelType w:val="hybridMultilevel"/>
    <w:tmpl w:val="EB827CBA"/>
    <w:lvl w:ilvl="0" w:tplc="5888C14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230E6"/>
    <w:multiLevelType w:val="hybridMultilevel"/>
    <w:tmpl w:val="2D72CB0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822AAA"/>
    <w:multiLevelType w:val="hybridMultilevel"/>
    <w:tmpl w:val="EECCCB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2D2819"/>
    <w:multiLevelType w:val="multilevel"/>
    <w:tmpl w:val="37E4A23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425ADA"/>
    <w:multiLevelType w:val="multilevel"/>
    <w:tmpl w:val="50041804"/>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9" w15:restartNumberingAfterBreak="0">
    <w:nsid w:val="25F71C78"/>
    <w:multiLevelType w:val="hybridMultilevel"/>
    <w:tmpl w:val="30BCE570"/>
    <w:lvl w:ilvl="0" w:tplc="99247C4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57908"/>
    <w:multiLevelType w:val="hybridMultilevel"/>
    <w:tmpl w:val="FDC62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A2AE7"/>
    <w:multiLevelType w:val="hybridMultilevel"/>
    <w:tmpl w:val="58DE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83998"/>
    <w:multiLevelType w:val="hybridMultilevel"/>
    <w:tmpl w:val="5332FB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063F1"/>
    <w:multiLevelType w:val="hybridMultilevel"/>
    <w:tmpl w:val="CBFC39E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BC6CBD"/>
    <w:multiLevelType w:val="hybridMultilevel"/>
    <w:tmpl w:val="DC94B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C69B2"/>
    <w:multiLevelType w:val="hybridMultilevel"/>
    <w:tmpl w:val="4E046718"/>
    <w:lvl w:ilvl="0" w:tplc="FE0A7C02">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3C64014A"/>
    <w:multiLevelType w:val="hybridMultilevel"/>
    <w:tmpl w:val="53263C68"/>
    <w:lvl w:ilvl="0" w:tplc="241A0005">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15:restartNumberingAfterBreak="0">
    <w:nsid w:val="41884913"/>
    <w:multiLevelType w:val="hybridMultilevel"/>
    <w:tmpl w:val="27A0A9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41BD2059"/>
    <w:multiLevelType w:val="hybridMultilevel"/>
    <w:tmpl w:val="FDCE8A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D1AEA"/>
    <w:multiLevelType w:val="hybridMultilevel"/>
    <w:tmpl w:val="1A7698AC"/>
    <w:lvl w:ilvl="0" w:tplc="A3800E5C">
      <w:start w:val="1"/>
      <w:numFmt w:val="bullet"/>
      <w:lvlText w:val="-"/>
      <w:lvlJc w:val="left"/>
      <w:pPr>
        <w:ind w:left="720" w:hanging="360"/>
      </w:pPr>
      <w:rPr>
        <w:rFonts w:ascii="Calibri" w:eastAsia="Tahom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C27FC"/>
    <w:multiLevelType w:val="hybridMultilevel"/>
    <w:tmpl w:val="B98A50E8"/>
    <w:lvl w:ilvl="0" w:tplc="6C6A950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DD2EFF"/>
    <w:multiLevelType w:val="hybridMultilevel"/>
    <w:tmpl w:val="B0589714"/>
    <w:lvl w:ilvl="0" w:tplc="D9C638C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BD16902"/>
    <w:multiLevelType w:val="hybridMultilevel"/>
    <w:tmpl w:val="B6CE72F6"/>
    <w:lvl w:ilvl="0" w:tplc="FFFFFFFF">
      <w:start w:val="1"/>
      <w:numFmt w:val="bullet"/>
      <w:lvlText w:val=""/>
      <w:lvlJc w:val="left"/>
      <w:pPr>
        <w:ind w:left="720" w:hanging="360"/>
      </w:pPr>
      <w:rPr>
        <w:rFonts w:ascii="Symbol" w:hAnsi="Symbol"/>
        <w:color w:val="8DB3E2"/>
      </w:rPr>
    </w:lvl>
    <w:lvl w:ilvl="1" w:tplc="EF183504">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23" w15:restartNumberingAfterBreak="0">
    <w:nsid w:val="4F8566AC"/>
    <w:multiLevelType w:val="hybridMultilevel"/>
    <w:tmpl w:val="52AE2EF8"/>
    <w:lvl w:ilvl="0" w:tplc="44E8F436">
      <w:start w:val="1"/>
      <w:numFmt w:val="decimal"/>
      <w:lvlText w:val="%1."/>
      <w:lvlJc w:val="left"/>
      <w:pPr>
        <w:ind w:left="1980" w:hanging="360"/>
      </w:pPr>
      <w:rPr>
        <w:rFonts w:hint="default"/>
      </w:rPr>
    </w:lvl>
    <w:lvl w:ilvl="1" w:tplc="081A0019" w:tentative="1">
      <w:start w:val="1"/>
      <w:numFmt w:val="lowerLetter"/>
      <w:lvlText w:val="%2."/>
      <w:lvlJc w:val="left"/>
      <w:pPr>
        <w:ind w:left="2700" w:hanging="360"/>
      </w:pPr>
    </w:lvl>
    <w:lvl w:ilvl="2" w:tplc="081A001B" w:tentative="1">
      <w:start w:val="1"/>
      <w:numFmt w:val="lowerRoman"/>
      <w:lvlText w:val="%3."/>
      <w:lvlJc w:val="right"/>
      <w:pPr>
        <w:ind w:left="3420" w:hanging="180"/>
      </w:pPr>
    </w:lvl>
    <w:lvl w:ilvl="3" w:tplc="081A000F" w:tentative="1">
      <w:start w:val="1"/>
      <w:numFmt w:val="decimal"/>
      <w:lvlText w:val="%4."/>
      <w:lvlJc w:val="left"/>
      <w:pPr>
        <w:ind w:left="4140" w:hanging="360"/>
      </w:pPr>
    </w:lvl>
    <w:lvl w:ilvl="4" w:tplc="081A0019" w:tentative="1">
      <w:start w:val="1"/>
      <w:numFmt w:val="lowerLetter"/>
      <w:lvlText w:val="%5."/>
      <w:lvlJc w:val="left"/>
      <w:pPr>
        <w:ind w:left="4860" w:hanging="360"/>
      </w:pPr>
    </w:lvl>
    <w:lvl w:ilvl="5" w:tplc="081A001B" w:tentative="1">
      <w:start w:val="1"/>
      <w:numFmt w:val="lowerRoman"/>
      <w:lvlText w:val="%6."/>
      <w:lvlJc w:val="right"/>
      <w:pPr>
        <w:ind w:left="5580" w:hanging="180"/>
      </w:pPr>
    </w:lvl>
    <w:lvl w:ilvl="6" w:tplc="081A000F" w:tentative="1">
      <w:start w:val="1"/>
      <w:numFmt w:val="decimal"/>
      <w:lvlText w:val="%7."/>
      <w:lvlJc w:val="left"/>
      <w:pPr>
        <w:ind w:left="6300" w:hanging="360"/>
      </w:pPr>
    </w:lvl>
    <w:lvl w:ilvl="7" w:tplc="081A0019" w:tentative="1">
      <w:start w:val="1"/>
      <w:numFmt w:val="lowerLetter"/>
      <w:lvlText w:val="%8."/>
      <w:lvlJc w:val="left"/>
      <w:pPr>
        <w:ind w:left="7020" w:hanging="360"/>
      </w:pPr>
    </w:lvl>
    <w:lvl w:ilvl="8" w:tplc="081A001B" w:tentative="1">
      <w:start w:val="1"/>
      <w:numFmt w:val="lowerRoman"/>
      <w:lvlText w:val="%9."/>
      <w:lvlJc w:val="right"/>
      <w:pPr>
        <w:ind w:left="7740" w:hanging="180"/>
      </w:pPr>
    </w:lvl>
  </w:abstractNum>
  <w:abstractNum w:abstractNumId="24" w15:restartNumberingAfterBreak="0">
    <w:nsid w:val="51F26772"/>
    <w:multiLevelType w:val="hybridMultilevel"/>
    <w:tmpl w:val="83420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35DEE"/>
    <w:multiLevelType w:val="hybridMultilevel"/>
    <w:tmpl w:val="4028A15A"/>
    <w:lvl w:ilvl="0" w:tplc="6B54FC4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AC5C25"/>
    <w:multiLevelType w:val="hybridMultilevel"/>
    <w:tmpl w:val="17321DA8"/>
    <w:lvl w:ilvl="0" w:tplc="1AA217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D2626A"/>
    <w:multiLevelType w:val="hybridMultilevel"/>
    <w:tmpl w:val="E2FA219E"/>
    <w:lvl w:ilvl="0" w:tplc="1AC69EA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A74DA1"/>
    <w:multiLevelType w:val="hybridMultilevel"/>
    <w:tmpl w:val="E0583C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AE1F10"/>
    <w:multiLevelType w:val="hybridMultilevel"/>
    <w:tmpl w:val="2C8204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02BE4"/>
    <w:multiLevelType w:val="hybridMultilevel"/>
    <w:tmpl w:val="2FF650E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DD8366C"/>
    <w:multiLevelType w:val="hybridMultilevel"/>
    <w:tmpl w:val="2DE407E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737D6335"/>
    <w:multiLevelType w:val="hybridMultilevel"/>
    <w:tmpl w:val="19287AD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15:restartNumberingAfterBreak="0">
    <w:nsid w:val="751E5551"/>
    <w:multiLevelType w:val="hybridMultilevel"/>
    <w:tmpl w:val="8BF0D73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8F0AD6"/>
    <w:multiLevelType w:val="hybridMultilevel"/>
    <w:tmpl w:val="DD848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250B9"/>
    <w:multiLevelType w:val="hybridMultilevel"/>
    <w:tmpl w:val="82D0F4B0"/>
    <w:lvl w:ilvl="0" w:tplc="FFFFFFFF">
      <w:start w:val="1"/>
      <w:numFmt w:val="decimal"/>
      <w:lvlText w:val="%1."/>
      <w:lvlJc w:val="left"/>
      <w:pPr>
        <w:ind w:left="540" w:hanging="360"/>
      </w:pPr>
    </w:lvl>
    <w:lvl w:ilvl="1" w:tplc="241A0005">
      <w:start w:val="1"/>
      <w:numFmt w:val="bullet"/>
      <w:lvlText w:val=""/>
      <w:lvlJc w:val="left"/>
      <w:pPr>
        <w:ind w:left="1440" w:hanging="360"/>
      </w:pPr>
      <w:rPr>
        <w:rFonts w:ascii="Wingdings" w:hAnsi="Wingdings" w:hint="default"/>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97B4087"/>
    <w:multiLevelType w:val="hybridMultilevel"/>
    <w:tmpl w:val="E250AB0E"/>
    <w:lvl w:ilvl="0" w:tplc="CCAC6374">
      <w:start w:val="1"/>
      <w:numFmt w:val="decimal"/>
      <w:lvlText w:val="%1."/>
      <w:lvlJc w:val="left"/>
      <w:pPr>
        <w:ind w:left="822" w:hanging="360"/>
      </w:pPr>
      <w:rPr>
        <w:rFonts w:hint="default"/>
        <w:b w:val="0"/>
        <w:bCs/>
      </w:rPr>
    </w:lvl>
    <w:lvl w:ilvl="1" w:tplc="081A0019" w:tentative="1">
      <w:start w:val="1"/>
      <w:numFmt w:val="lowerLetter"/>
      <w:lvlText w:val="%2."/>
      <w:lvlJc w:val="left"/>
      <w:pPr>
        <w:ind w:left="1542" w:hanging="360"/>
      </w:pPr>
    </w:lvl>
    <w:lvl w:ilvl="2" w:tplc="081A001B" w:tentative="1">
      <w:start w:val="1"/>
      <w:numFmt w:val="lowerRoman"/>
      <w:lvlText w:val="%3."/>
      <w:lvlJc w:val="right"/>
      <w:pPr>
        <w:ind w:left="2262" w:hanging="180"/>
      </w:pPr>
    </w:lvl>
    <w:lvl w:ilvl="3" w:tplc="081A000F" w:tentative="1">
      <w:start w:val="1"/>
      <w:numFmt w:val="decimal"/>
      <w:lvlText w:val="%4."/>
      <w:lvlJc w:val="left"/>
      <w:pPr>
        <w:ind w:left="2982" w:hanging="360"/>
      </w:pPr>
    </w:lvl>
    <w:lvl w:ilvl="4" w:tplc="081A0019" w:tentative="1">
      <w:start w:val="1"/>
      <w:numFmt w:val="lowerLetter"/>
      <w:lvlText w:val="%5."/>
      <w:lvlJc w:val="left"/>
      <w:pPr>
        <w:ind w:left="3702" w:hanging="360"/>
      </w:pPr>
    </w:lvl>
    <w:lvl w:ilvl="5" w:tplc="081A001B" w:tentative="1">
      <w:start w:val="1"/>
      <w:numFmt w:val="lowerRoman"/>
      <w:lvlText w:val="%6."/>
      <w:lvlJc w:val="right"/>
      <w:pPr>
        <w:ind w:left="4422" w:hanging="180"/>
      </w:pPr>
    </w:lvl>
    <w:lvl w:ilvl="6" w:tplc="081A000F" w:tentative="1">
      <w:start w:val="1"/>
      <w:numFmt w:val="decimal"/>
      <w:lvlText w:val="%7."/>
      <w:lvlJc w:val="left"/>
      <w:pPr>
        <w:ind w:left="5142" w:hanging="360"/>
      </w:pPr>
    </w:lvl>
    <w:lvl w:ilvl="7" w:tplc="081A0019" w:tentative="1">
      <w:start w:val="1"/>
      <w:numFmt w:val="lowerLetter"/>
      <w:lvlText w:val="%8."/>
      <w:lvlJc w:val="left"/>
      <w:pPr>
        <w:ind w:left="5862" w:hanging="360"/>
      </w:pPr>
    </w:lvl>
    <w:lvl w:ilvl="8" w:tplc="081A001B" w:tentative="1">
      <w:start w:val="1"/>
      <w:numFmt w:val="lowerRoman"/>
      <w:lvlText w:val="%9."/>
      <w:lvlJc w:val="right"/>
      <w:pPr>
        <w:ind w:left="6582" w:hanging="180"/>
      </w:pPr>
    </w:lvl>
  </w:abstractNum>
  <w:abstractNum w:abstractNumId="37" w15:restartNumberingAfterBreak="0">
    <w:nsid w:val="7A823249"/>
    <w:multiLevelType w:val="hybridMultilevel"/>
    <w:tmpl w:val="47C823EC"/>
    <w:lvl w:ilvl="0" w:tplc="562ADEE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055DF6"/>
    <w:multiLevelType w:val="hybridMultilevel"/>
    <w:tmpl w:val="AB1A810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4"/>
  </w:num>
  <w:num w:numId="2">
    <w:abstractNumId w:val="7"/>
  </w:num>
  <w:num w:numId="3">
    <w:abstractNumId w:val="19"/>
  </w:num>
  <w:num w:numId="4">
    <w:abstractNumId w:val="17"/>
  </w:num>
  <w:num w:numId="5">
    <w:abstractNumId w:val="31"/>
  </w:num>
  <w:num w:numId="6">
    <w:abstractNumId w:val="8"/>
  </w:num>
  <w:num w:numId="7">
    <w:abstractNumId w:val="36"/>
  </w:num>
  <w:num w:numId="8">
    <w:abstractNumId w:val="32"/>
  </w:num>
  <w:num w:numId="9">
    <w:abstractNumId w:val="23"/>
  </w:num>
  <w:num w:numId="10">
    <w:abstractNumId w:val="38"/>
  </w:num>
  <w:num w:numId="11">
    <w:abstractNumId w:val="12"/>
  </w:num>
  <w:num w:numId="12">
    <w:abstractNumId w:val="0"/>
  </w:num>
  <w:num w:numId="13">
    <w:abstractNumId w:val="11"/>
  </w:num>
  <w:num w:numId="14">
    <w:abstractNumId w:val="30"/>
  </w:num>
  <w:num w:numId="15">
    <w:abstractNumId w:val="13"/>
  </w:num>
  <w:num w:numId="16">
    <w:abstractNumId w:val="33"/>
  </w:num>
  <w:num w:numId="17">
    <w:abstractNumId w:val="10"/>
  </w:num>
  <w:num w:numId="18">
    <w:abstractNumId w:val="21"/>
  </w:num>
  <w:num w:numId="19">
    <w:abstractNumId w:val="5"/>
  </w:num>
  <w:num w:numId="20">
    <w:abstractNumId w:val="3"/>
  </w:num>
  <w:num w:numId="21">
    <w:abstractNumId w:val="22"/>
  </w:num>
  <w:num w:numId="22">
    <w:abstractNumId w:val="35"/>
  </w:num>
  <w:num w:numId="23">
    <w:abstractNumId w:val="27"/>
  </w:num>
  <w:num w:numId="24">
    <w:abstractNumId w:val="14"/>
  </w:num>
  <w:num w:numId="25">
    <w:abstractNumId w:val="37"/>
  </w:num>
  <w:num w:numId="26">
    <w:abstractNumId w:val="34"/>
  </w:num>
  <w:num w:numId="27">
    <w:abstractNumId w:val="2"/>
  </w:num>
  <w:num w:numId="28">
    <w:abstractNumId w:val="24"/>
  </w:num>
  <w:num w:numId="29">
    <w:abstractNumId w:val="25"/>
  </w:num>
  <w:num w:numId="30">
    <w:abstractNumId w:val="28"/>
  </w:num>
  <w:num w:numId="31">
    <w:abstractNumId w:val="9"/>
  </w:num>
  <w:num w:numId="32">
    <w:abstractNumId w:val="6"/>
  </w:num>
  <w:num w:numId="33">
    <w:abstractNumId w:val="20"/>
  </w:num>
  <w:num w:numId="34">
    <w:abstractNumId w:val="29"/>
  </w:num>
  <w:num w:numId="35">
    <w:abstractNumId w:val="16"/>
  </w:num>
  <w:num w:numId="36">
    <w:abstractNumId w:val="26"/>
  </w:num>
  <w:num w:numId="37">
    <w:abstractNumId w:val="18"/>
  </w:num>
  <w:num w:numId="38">
    <w:abstractNumId w:val="1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60"/>
    <w:rsid w:val="0000330D"/>
    <w:rsid w:val="00010639"/>
    <w:rsid w:val="00013565"/>
    <w:rsid w:val="00054DE0"/>
    <w:rsid w:val="000D47A5"/>
    <w:rsid w:val="000D5661"/>
    <w:rsid w:val="00114E44"/>
    <w:rsid w:val="00115DDE"/>
    <w:rsid w:val="0017767C"/>
    <w:rsid w:val="001B670C"/>
    <w:rsid w:val="001C01F9"/>
    <w:rsid w:val="001E3E24"/>
    <w:rsid w:val="002139A1"/>
    <w:rsid w:val="00333492"/>
    <w:rsid w:val="00336111"/>
    <w:rsid w:val="003366AB"/>
    <w:rsid w:val="00393EBF"/>
    <w:rsid w:val="003A3E66"/>
    <w:rsid w:val="003B48A8"/>
    <w:rsid w:val="003C10B3"/>
    <w:rsid w:val="003F5509"/>
    <w:rsid w:val="004177A9"/>
    <w:rsid w:val="00491A39"/>
    <w:rsid w:val="004F4D6A"/>
    <w:rsid w:val="005272BC"/>
    <w:rsid w:val="005B623F"/>
    <w:rsid w:val="00611B4E"/>
    <w:rsid w:val="00627651"/>
    <w:rsid w:val="00644AA1"/>
    <w:rsid w:val="00657373"/>
    <w:rsid w:val="00690C81"/>
    <w:rsid w:val="006E2C0D"/>
    <w:rsid w:val="007E76FF"/>
    <w:rsid w:val="0089042F"/>
    <w:rsid w:val="008A220C"/>
    <w:rsid w:val="008B0B05"/>
    <w:rsid w:val="009237B3"/>
    <w:rsid w:val="00936719"/>
    <w:rsid w:val="009409FA"/>
    <w:rsid w:val="00972E4B"/>
    <w:rsid w:val="009A65A4"/>
    <w:rsid w:val="009E2C76"/>
    <w:rsid w:val="00A01E26"/>
    <w:rsid w:val="00A37905"/>
    <w:rsid w:val="00A67D20"/>
    <w:rsid w:val="00A74A51"/>
    <w:rsid w:val="00A9060E"/>
    <w:rsid w:val="00AC3860"/>
    <w:rsid w:val="00AF7A11"/>
    <w:rsid w:val="00B12C92"/>
    <w:rsid w:val="00B87398"/>
    <w:rsid w:val="00BC0FB0"/>
    <w:rsid w:val="00C95CF5"/>
    <w:rsid w:val="00C97856"/>
    <w:rsid w:val="00D04833"/>
    <w:rsid w:val="00D435A8"/>
    <w:rsid w:val="00D857D1"/>
    <w:rsid w:val="00E2573D"/>
    <w:rsid w:val="00E83AB4"/>
    <w:rsid w:val="00EF7FC7"/>
    <w:rsid w:val="00F208CC"/>
    <w:rsid w:val="00F366B5"/>
    <w:rsid w:val="00F5067A"/>
    <w:rsid w:val="00F802E2"/>
    <w:rsid w:val="00FD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8CE5"/>
  <w15:chartTrackingRefBased/>
  <w15:docId w15:val="{938BEBA0-CF94-487F-8D80-9FB70C1F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9A1"/>
    <w:pPr>
      <w:ind w:left="720"/>
      <w:contextualSpacing/>
    </w:pPr>
  </w:style>
  <w:style w:type="paragraph" w:styleId="BodyText">
    <w:name w:val="Body Text"/>
    <w:basedOn w:val="Normal"/>
    <w:link w:val="BodyTextChar"/>
    <w:uiPriority w:val="1"/>
    <w:qFormat/>
    <w:rsid w:val="002139A1"/>
    <w:pPr>
      <w:widowControl w:val="0"/>
      <w:autoSpaceDE w:val="0"/>
      <w:autoSpaceDN w:val="0"/>
      <w:spacing w:after="0" w:line="240" w:lineRule="auto"/>
    </w:pPr>
    <w:rPr>
      <w:rFonts w:ascii="Tahoma" w:eastAsia="Tahoma" w:hAnsi="Tahoma" w:cs="Tahoma"/>
      <w:sz w:val="20"/>
      <w:szCs w:val="20"/>
    </w:rPr>
  </w:style>
  <w:style w:type="character" w:customStyle="1" w:styleId="BodyTextChar">
    <w:name w:val="Body Text Char"/>
    <w:basedOn w:val="DefaultParagraphFont"/>
    <w:link w:val="BodyText"/>
    <w:uiPriority w:val="1"/>
    <w:rsid w:val="002139A1"/>
    <w:rPr>
      <w:rFonts w:ascii="Tahoma" w:eastAsia="Tahoma" w:hAnsi="Tahoma" w:cs="Tahoma"/>
      <w:sz w:val="20"/>
      <w:szCs w:val="20"/>
    </w:rPr>
  </w:style>
  <w:style w:type="paragraph" w:styleId="NoSpacing">
    <w:name w:val="No Spacing"/>
    <w:uiPriority w:val="1"/>
    <w:qFormat/>
    <w:rsid w:val="002139A1"/>
    <w:pPr>
      <w:suppressAutoHyphens/>
      <w:spacing w:after="0" w:line="240" w:lineRule="auto"/>
    </w:pPr>
    <w:rPr>
      <w:rFonts w:cs="Times New Roman"/>
      <w:sz w:val="24"/>
    </w:rPr>
  </w:style>
  <w:style w:type="table" w:customStyle="1" w:styleId="TableGrid">
    <w:name w:val="TableGrid"/>
    <w:rsid w:val="002139A1"/>
    <w:pPr>
      <w:spacing w:after="0" w:line="240" w:lineRule="auto"/>
    </w:pPr>
    <w:rPr>
      <w:rFonts w:eastAsiaTheme="minorEastAsia"/>
      <w:lang w:val="sr-Latn-CS" w:eastAsia="sr-Latn-C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13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1"/>
    <w:rPr>
      <w:rFonts w:ascii="Segoe UI" w:hAnsi="Segoe UI" w:cs="Segoe UI"/>
      <w:sz w:val="18"/>
      <w:szCs w:val="18"/>
    </w:rPr>
  </w:style>
  <w:style w:type="paragraph" w:styleId="Subtitle">
    <w:name w:val="Subtitle"/>
    <w:basedOn w:val="Normal"/>
    <w:next w:val="Normal"/>
    <w:link w:val="SubtitleChar"/>
    <w:uiPriority w:val="11"/>
    <w:qFormat/>
    <w:rsid w:val="0089042F"/>
    <w:pPr>
      <w:numPr>
        <w:ilvl w:val="1"/>
      </w:numPr>
      <w:adjustRightInd w:val="0"/>
      <w:spacing w:after="200" w:line="276" w:lineRule="auto"/>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11"/>
    <w:rsid w:val="0089042F"/>
    <w:rPr>
      <w:rFonts w:ascii="Cambria" w:eastAsia="Times New Roman" w:hAnsi="Cambria" w:cs="Cambria"/>
      <w:i/>
      <w:iCs/>
      <w:color w:val="4F81BD"/>
      <w:spacing w:val="15"/>
      <w:sz w:val="24"/>
      <w:szCs w:val="24"/>
    </w:rPr>
  </w:style>
  <w:style w:type="paragraph" w:styleId="FootnoteText">
    <w:name w:val="footnote text"/>
    <w:basedOn w:val="Normal"/>
    <w:link w:val="FootnoteTextChar"/>
    <w:uiPriority w:val="99"/>
    <w:rsid w:val="0089042F"/>
    <w:pPr>
      <w:adjustRightInd w:val="0"/>
      <w:spacing w:after="0" w:line="240"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89042F"/>
    <w:rPr>
      <w:rFonts w:ascii="Calibri" w:eastAsia="Times New Roman" w:hAnsi="Calibri" w:cs="Calibri"/>
      <w:sz w:val="20"/>
      <w:szCs w:val="20"/>
    </w:rPr>
  </w:style>
  <w:style w:type="character" w:styleId="FootnoteReference">
    <w:name w:val="footnote reference"/>
    <w:uiPriority w:val="99"/>
    <w:rsid w:val="0089042F"/>
    <w:rPr>
      <w:vertAlign w:val="superscript"/>
    </w:rPr>
  </w:style>
  <w:style w:type="paragraph" w:styleId="Header">
    <w:name w:val="header"/>
    <w:basedOn w:val="Normal"/>
    <w:link w:val="HeaderChar"/>
    <w:uiPriority w:val="99"/>
    <w:unhideWhenUsed/>
    <w:rsid w:val="00AF7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A11"/>
  </w:style>
  <w:style w:type="paragraph" w:styleId="Footer">
    <w:name w:val="footer"/>
    <w:basedOn w:val="Normal"/>
    <w:link w:val="FooterChar"/>
    <w:uiPriority w:val="99"/>
    <w:unhideWhenUsed/>
    <w:rsid w:val="00AF7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10</Pages>
  <Words>4328</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Đorđević</dc:creator>
  <cp:keywords/>
  <dc:description/>
  <cp:lastModifiedBy>Milena Đorđević</cp:lastModifiedBy>
  <cp:revision>33</cp:revision>
  <dcterms:created xsi:type="dcterms:W3CDTF">2021-09-03T09:45:00Z</dcterms:created>
  <dcterms:modified xsi:type="dcterms:W3CDTF">2022-06-08T12:50:00Z</dcterms:modified>
</cp:coreProperties>
</file>