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37338" w14:textId="5DF0BAEC" w:rsidR="00166A16" w:rsidRPr="00E94A66" w:rsidRDefault="00E94A66" w:rsidP="00166A16">
      <w:pPr>
        <w:spacing w:after="0" w:line="20" w:lineRule="atLeast"/>
        <w:ind w:left="720"/>
        <w:jc w:val="center"/>
        <w:rPr>
          <w:rFonts w:ascii="Times New Roman" w:eastAsia="Calibri" w:hAnsi="Times New Roman" w:cs="Times New Roman"/>
          <w:b/>
          <w:sz w:val="24"/>
          <w:szCs w:val="24"/>
          <w:lang w:eastAsia="en-GB"/>
        </w:rPr>
      </w:pPr>
      <w:r w:rsidRPr="00E94A66">
        <w:rPr>
          <w:rFonts w:ascii="Times New Roman" w:eastAsia="Calibri" w:hAnsi="Times New Roman" w:cs="Times New Roman"/>
          <w:b/>
          <w:sz w:val="24"/>
          <w:szCs w:val="24"/>
          <w:lang w:eastAsia="en-GB"/>
        </w:rPr>
        <w:t>STATEMENT ON EARLY DETECTION AND EXCLUSION</w:t>
      </w:r>
    </w:p>
    <w:p w14:paraId="64EB60A9" w14:textId="77777777" w:rsidR="00E94A66" w:rsidRDefault="00E94A66" w:rsidP="00166A16">
      <w:pPr>
        <w:spacing w:after="0" w:line="20" w:lineRule="atLeast"/>
        <w:ind w:left="720"/>
        <w:jc w:val="center"/>
        <w:rPr>
          <w:rFonts w:ascii="Arial" w:eastAsia="Calibri" w:hAnsi="Arial" w:cs="Arial"/>
          <w:lang w:eastAsia="en-GB"/>
        </w:rPr>
      </w:pPr>
    </w:p>
    <w:p w14:paraId="5D0CC650" w14:textId="77777777" w:rsidR="00E94A66" w:rsidRDefault="00E94A66" w:rsidP="00E94A66">
      <w:pPr>
        <w:spacing w:after="0" w:line="20" w:lineRule="atLeast"/>
        <w:jc w:val="both"/>
        <w:rPr>
          <w:rFonts w:ascii="Times New Roman" w:eastAsia="Calibri" w:hAnsi="Times New Roman" w:cs="Times New Roman"/>
          <w:sz w:val="24"/>
          <w:szCs w:val="24"/>
          <w:lang w:eastAsia="en-GB"/>
        </w:rPr>
      </w:pPr>
    </w:p>
    <w:p w14:paraId="7FD190D1" w14:textId="6ED784C1" w:rsidR="00166A16" w:rsidRPr="00E94A66" w:rsidRDefault="00166A16" w:rsidP="00E94A66">
      <w:pPr>
        <w:spacing w:after="0" w:line="20" w:lineRule="atLeast"/>
        <w:jc w:val="both"/>
        <w:rPr>
          <w:rFonts w:ascii="Times New Roman" w:eastAsia="Calibri" w:hAnsi="Times New Roman" w:cs="Times New Roman"/>
          <w:sz w:val="24"/>
          <w:szCs w:val="24"/>
          <w:lang w:eastAsia="en-GB"/>
        </w:rPr>
      </w:pPr>
      <w:r w:rsidRPr="00E94A66">
        <w:rPr>
          <w:rFonts w:ascii="Times New Roman" w:eastAsia="Calibri" w:hAnsi="Times New Roman" w:cs="Times New Roman"/>
          <w:sz w:val="24"/>
          <w:szCs w:val="24"/>
          <w:lang w:eastAsia="en-GB"/>
        </w:rPr>
        <w:t>Under material and criminal responsibility, we declare</w:t>
      </w:r>
      <w:r w:rsidR="007306A7" w:rsidRPr="00E94A66">
        <w:rPr>
          <w:rFonts w:ascii="Times New Roman" w:eastAsia="Calibri" w:hAnsi="Times New Roman" w:cs="Times New Roman"/>
          <w:sz w:val="24"/>
          <w:szCs w:val="24"/>
          <w:lang w:eastAsia="en-GB"/>
        </w:rPr>
        <w:t xml:space="preserve"> that</w:t>
      </w:r>
      <w:r w:rsidRPr="00E94A66">
        <w:rPr>
          <w:rFonts w:ascii="Times New Roman" w:eastAsia="Calibri" w:hAnsi="Times New Roman" w:cs="Times New Roman"/>
          <w:sz w:val="24"/>
          <w:szCs w:val="24"/>
          <w:lang w:eastAsia="en-GB"/>
        </w:rPr>
        <w:t>:</w:t>
      </w:r>
    </w:p>
    <w:p w14:paraId="6BFD4648" w14:textId="77777777" w:rsidR="00166A16" w:rsidRPr="00E94A66" w:rsidRDefault="00166A16" w:rsidP="00166A16">
      <w:pPr>
        <w:spacing w:after="0" w:line="20" w:lineRule="atLeast"/>
        <w:ind w:left="720"/>
        <w:jc w:val="center"/>
        <w:rPr>
          <w:rFonts w:ascii="Times New Roman" w:eastAsia="Calibri" w:hAnsi="Times New Roman" w:cs="Times New Roman"/>
          <w:sz w:val="24"/>
          <w:szCs w:val="24"/>
          <w:lang w:eastAsia="en-GB"/>
        </w:rPr>
      </w:pPr>
    </w:p>
    <w:p w14:paraId="043656B1" w14:textId="33A86858" w:rsidR="00166A16" w:rsidRPr="00E94A66" w:rsidRDefault="00166A16" w:rsidP="00166A16">
      <w:pPr>
        <w:spacing w:after="0" w:line="20" w:lineRule="atLeast"/>
        <w:ind w:left="720"/>
        <w:jc w:val="both"/>
        <w:rPr>
          <w:rFonts w:ascii="Times New Roman" w:eastAsia="Calibri" w:hAnsi="Times New Roman" w:cs="Times New Roman"/>
          <w:sz w:val="24"/>
          <w:szCs w:val="24"/>
          <w:lang w:eastAsia="en-GB"/>
        </w:rPr>
      </w:pPr>
    </w:p>
    <w:p w14:paraId="02534DF2" w14:textId="6C05ECC6" w:rsidR="00166A16" w:rsidRPr="00E94A66" w:rsidRDefault="00EF7306" w:rsidP="00166A16">
      <w:pPr>
        <w:spacing w:after="0" w:line="20" w:lineRule="atLeast"/>
        <w:ind w:left="720"/>
        <w:jc w:val="both"/>
        <w:rPr>
          <w:rFonts w:ascii="Times New Roman" w:eastAsia="Calibri" w:hAnsi="Times New Roman" w:cs="Times New Roman"/>
          <w:sz w:val="24"/>
          <w:szCs w:val="24"/>
          <w:lang w:eastAsia="en-GB"/>
        </w:rPr>
      </w:pPr>
      <w:r w:rsidRPr="00E94A66">
        <w:rPr>
          <w:rFonts w:ascii="Times New Roman" w:eastAsia="Calibri" w:hAnsi="Times New Roman" w:cs="Times New Roman"/>
          <w:sz w:val="24"/>
          <w:szCs w:val="24"/>
          <w:lang w:eastAsia="en-GB"/>
        </w:rPr>
        <w:t>We or persons having powers of representation, decision making or control over us:</w:t>
      </w:r>
    </w:p>
    <w:p w14:paraId="3A5964B0" w14:textId="1278780D" w:rsidR="00EF7306" w:rsidRPr="00E94A66" w:rsidRDefault="00EF7306" w:rsidP="00166A16">
      <w:pPr>
        <w:spacing w:after="0" w:line="20" w:lineRule="atLeast"/>
        <w:ind w:left="720"/>
        <w:jc w:val="both"/>
        <w:rPr>
          <w:rFonts w:ascii="Times New Roman" w:eastAsia="Calibri" w:hAnsi="Times New Roman" w:cs="Times New Roman"/>
          <w:sz w:val="24"/>
          <w:szCs w:val="24"/>
          <w:lang w:eastAsia="en-GB"/>
        </w:rPr>
      </w:pPr>
    </w:p>
    <w:p w14:paraId="32A24278" w14:textId="77777777" w:rsidR="00EF7306" w:rsidRPr="00E94A66" w:rsidRDefault="00EF7306" w:rsidP="00166A16">
      <w:pPr>
        <w:spacing w:after="0" w:line="20" w:lineRule="atLeast"/>
        <w:ind w:left="720"/>
        <w:jc w:val="both"/>
        <w:rPr>
          <w:rFonts w:ascii="Times New Roman" w:eastAsia="Calibri" w:hAnsi="Times New Roman" w:cs="Times New Roman"/>
          <w:sz w:val="24"/>
          <w:szCs w:val="24"/>
          <w:lang w:eastAsia="en-GB"/>
        </w:rPr>
      </w:pPr>
    </w:p>
    <w:p w14:paraId="2C1A0BD0" w14:textId="3E7ADE0E" w:rsidR="00166A16" w:rsidRPr="00E94A66" w:rsidRDefault="00EF7306" w:rsidP="00166A16">
      <w:pPr>
        <w:numPr>
          <w:ilvl w:val="0"/>
          <w:numId w:val="1"/>
        </w:numPr>
        <w:spacing w:after="0" w:line="20" w:lineRule="atLeast"/>
        <w:ind w:left="720" w:firstLine="450"/>
        <w:jc w:val="both"/>
        <w:rPr>
          <w:rFonts w:ascii="Times New Roman" w:eastAsia="Calibri" w:hAnsi="Times New Roman" w:cs="Times New Roman"/>
          <w:sz w:val="24"/>
          <w:szCs w:val="24"/>
          <w:lang w:eastAsia="en-GB"/>
        </w:rPr>
      </w:pPr>
      <w:r w:rsidRPr="00E94A66">
        <w:rPr>
          <w:rFonts w:ascii="Times New Roman" w:eastAsia="Calibri" w:hAnsi="Times New Roman" w:cs="Times New Roman"/>
          <w:sz w:val="24"/>
          <w:szCs w:val="24"/>
          <w:lang w:eastAsia="en-GB"/>
        </w:rPr>
        <w:t xml:space="preserve">           h</w:t>
      </w:r>
      <w:r w:rsidR="00166A16" w:rsidRPr="00E94A66">
        <w:rPr>
          <w:rFonts w:ascii="Times New Roman" w:eastAsia="Calibri" w:hAnsi="Times New Roman" w:cs="Times New Roman"/>
          <w:sz w:val="24"/>
          <w:szCs w:val="24"/>
          <w:lang w:eastAsia="en-GB"/>
        </w:rPr>
        <w:t>ave</w:t>
      </w:r>
      <w:r w:rsidRPr="00E94A66">
        <w:rPr>
          <w:rFonts w:ascii="Times New Roman" w:eastAsia="Calibri" w:hAnsi="Times New Roman" w:cs="Times New Roman"/>
          <w:sz w:val="24"/>
          <w:szCs w:val="24"/>
          <w:lang w:eastAsia="en-GB"/>
        </w:rPr>
        <w:t xml:space="preserve"> not</w:t>
      </w:r>
      <w:r w:rsidR="00166A16" w:rsidRPr="00E94A66">
        <w:rPr>
          <w:rFonts w:ascii="Times New Roman" w:eastAsia="Calibri" w:hAnsi="Times New Roman" w:cs="Times New Roman"/>
          <w:sz w:val="24"/>
          <w:szCs w:val="24"/>
          <w:lang w:eastAsia="en-GB"/>
        </w:rPr>
        <w:t xml:space="preserve"> been the subject of a final judgement or of a final administrative decision for involvement in any Prohibited Practice, child labour, trafficking in human beings, for circumventing fiscal, social or any other applicable legal obligations, including through the creation of an entity for this purpose or more generally for involvement in a criminal organisation; </w:t>
      </w:r>
    </w:p>
    <w:p w14:paraId="7E43F5E6" w14:textId="35D00639" w:rsidR="00166A16" w:rsidRPr="00E94A66" w:rsidRDefault="00166A16" w:rsidP="00166A16">
      <w:pPr>
        <w:numPr>
          <w:ilvl w:val="0"/>
          <w:numId w:val="1"/>
        </w:numPr>
        <w:spacing w:after="0" w:line="20" w:lineRule="atLeast"/>
        <w:ind w:left="720" w:firstLine="450"/>
        <w:jc w:val="both"/>
        <w:rPr>
          <w:rFonts w:ascii="Times New Roman" w:eastAsia="Calibri" w:hAnsi="Times New Roman" w:cs="Times New Roman"/>
          <w:sz w:val="24"/>
          <w:szCs w:val="24"/>
          <w:lang w:eastAsia="en-GB"/>
        </w:rPr>
      </w:pPr>
      <w:r w:rsidRPr="00E94A66">
        <w:rPr>
          <w:rFonts w:ascii="Times New Roman" w:eastAsia="Calibri" w:hAnsi="Times New Roman" w:cs="Times New Roman"/>
          <w:sz w:val="24"/>
          <w:szCs w:val="24"/>
          <w:lang w:eastAsia="en-GB"/>
        </w:rPr>
        <w:t xml:space="preserve">have </w:t>
      </w:r>
      <w:r w:rsidR="00EF7306" w:rsidRPr="00E94A66">
        <w:rPr>
          <w:rFonts w:ascii="Times New Roman" w:eastAsia="Calibri" w:hAnsi="Times New Roman" w:cs="Times New Roman"/>
          <w:sz w:val="24"/>
          <w:szCs w:val="24"/>
          <w:lang w:eastAsia="en-GB"/>
        </w:rPr>
        <w:t xml:space="preserve">not </w:t>
      </w:r>
      <w:r w:rsidRPr="00E94A66">
        <w:rPr>
          <w:rFonts w:ascii="Times New Roman" w:eastAsia="Calibri" w:hAnsi="Times New Roman" w:cs="Times New Roman"/>
          <w:sz w:val="24"/>
          <w:szCs w:val="24"/>
          <w:lang w:eastAsia="en-GB"/>
        </w:rPr>
        <w:t xml:space="preserve">been the subject of a final judgement or of a final administrative decision for an irregularity affecting the EU's financial interest; </w:t>
      </w:r>
    </w:p>
    <w:p w14:paraId="103D7E1E" w14:textId="1F4868BA" w:rsidR="00166A16" w:rsidRPr="00E94A66" w:rsidRDefault="00166A16" w:rsidP="00166A16">
      <w:pPr>
        <w:numPr>
          <w:ilvl w:val="0"/>
          <w:numId w:val="1"/>
        </w:numPr>
        <w:spacing w:before="120" w:after="120" w:line="240" w:lineRule="auto"/>
        <w:ind w:left="720" w:firstLine="450"/>
        <w:jc w:val="both"/>
        <w:rPr>
          <w:rFonts w:ascii="Times New Roman" w:eastAsia="Calibri" w:hAnsi="Times New Roman" w:cs="Times New Roman"/>
          <w:sz w:val="24"/>
          <w:szCs w:val="24"/>
          <w:lang w:eastAsia="en-GB"/>
        </w:rPr>
      </w:pPr>
      <w:r w:rsidRPr="00E94A66">
        <w:rPr>
          <w:rFonts w:ascii="Times New Roman" w:eastAsia="Calibri" w:hAnsi="Times New Roman" w:cs="Times New Roman"/>
          <w:sz w:val="24"/>
          <w:szCs w:val="24"/>
          <w:lang w:eastAsia="en-GB"/>
        </w:rPr>
        <w:t>are</w:t>
      </w:r>
      <w:r w:rsidR="00EF7306" w:rsidRPr="00E94A66">
        <w:rPr>
          <w:rFonts w:ascii="Times New Roman" w:eastAsia="Calibri" w:hAnsi="Times New Roman" w:cs="Times New Roman"/>
          <w:sz w:val="24"/>
          <w:szCs w:val="24"/>
          <w:lang w:eastAsia="en-GB"/>
        </w:rPr>
        <w:t xml:space="preserve"> not</w:t>
      </w:r>
      <w:r w:rsidRPr="00E94A66">
        <w:rPr>
          <w:rFonts w:ascii="Times New Roman" w:eastAsia="Calibri" w:hAnsi="Times New Roman" w:cs="Times New Roman"/>
          <w:sz w:val="24"/>
          <w:szCs w:val="24"/>
          <w:lang w:eastAsia="en-GB"/>
        </w:rPr>
        <w:t xml:space="preserve"> guilty of misrepresentation in supplying the information required as a condition of participation in the procedure or if they fail to supply this information; </w:t>
      </w:r>
    </w:p>
    <w:p w14:paraId="221C0304" w14:textId="48160EA2" w:rsidR="00166A16" w:rsidRPr="00E94A66" w:rsidRDefault="00166A16" w:rsidP="00166A16">
      <w:pPr>
        <w:numPr>
          <w:ilvl w:val="0"/>
          <w:numId w:val="1"/>
        </w:numPr>
        <w:spacing w:before="120" w:after="120" w:line="240" w:lineRule="auto"/>
        <w:ind w:left="720" w:firstLine="450"/>
        <w:jc w:val="both"/>
        <w:rPr>
          <w:rFonts w:ascii="Times New Roman" w:eastAsia="Calibri" w:hAnsi="Times New Roman" w:cs="Times New Roman"/>
          <w:sz w:val="24"/>
          <w:szCs w:val="24"/>
          <w:lang w:eastAsia="en-GB"/>
        </w:rPr>
      </w:pPr>
      <w:r w:rsidRPr="00E94A66">
        <w:rPr>
          <w:rFonts w:ascii="Times New Roman" w:eastAsia="Calibri" w:hAnsi="Times New Roman" w:cs="Times New Roman"/>
          <w:sz w:val="24"/>
          <w:szCs w:val="24"/>
          <w:lang w:eastAsia="en-GB"/>
        </w:rPr>
        <w:t>have</w:t>
      </w:r>
      <w:r w:rsidR="00EF7306" w:rsidRPr="00E94A66">
        <w:rPr>
          <w:rFonts w:ascii="Times New Roman" w:eastAsia="Calibri" w:hAnsi="Times New Roman" w:cs="Times New Roman"/>
          <w:sz w:val="24"/>
          <w:szCs w:val="24"/>
          <w:lang w:eastAsia="en-GB"/>
        </w:rPr>
        <w:t xml:space="preserve"> not</w:t>
      </w:r>
      <w:r w:rsidRPr="00E94A66">
        <w:rPr>
          <w:rFonts w:ascii="Times New Roman" w:eastAsia="Calibri" w:hAnsi="Times New Roman" w:cs="Times New Roman"/>
          <w:sz w:val="24"/>
          <w:szCs w:val="24"/>
          <w:lang w:eastAsia="en-GB"/>
        </w:rPr>
        <w:t xml:space="preserve"> been the subject of a final judgment or of a final administrative decision establishing that the entities have created an entity under a different jurisdiction with the intention to circumvent fiscal, social or any other legal obligations of mandatory application in the jurisdiction of its registered office, central administration or principal place of business; </w:t>
      </w:r>
    </w:p>
    <w:p w14:paraId="27AC7A2F" w14:textId="65951434" w:rsidR="00166A16" w:rsidRPr="00E94A66" w:rsidRDefault="00166A16" w:rsidP="00166A16">
      <w:pPr>
        <w:numPr>
          <w:ilvl w:val="0"/>
          <w:numId w:val="1"/>
        </w:numPr>
        <w:spacing w:before="120" w:after="120" w:line="240" w:lineRule="auto"/>
        <w:ind w:left="720" w:firstLine="450"/>
        <w:jc w:val="both"/>
        <w:rPr>
          <w:rFonts w:ascii="Times New Roman" w:eastAsia="Calibri" w:hAnsi="Times New Roman" w:cs="Times New Roman"/>
          <w:sz w:val="24"/>
          <w:szCs w:val="24"/>
          <w:lang w:eastAsia="en-GB"/>
        </w:rPr>
      </w:pPr>
      <w:bookmarkStart w:id="0" w:name="_GoBack"/>
      <w:bookmarkEnd w:id="0"/>
      <w:r w:rsidRPr="00E94A66">
        <w:rPr>
          <w:rFonts w:ascii="Times New Roman" w:eastAsia="Calibri" w:hAnsi="Times New Roman" w:cs="Times New Roman"/>
          <w:sz w:val="24"/>
          <w:szCs w:val="24"/>
          <w:lang w:eastAsia="en-GB"/>
        </w:rPr>
        <w:t xml:space="preserve">have </w:t>
      </w:r>
      <w:r w:rsidR="00EF7306" w:rsidRPr="00E94A66">
        <w:rPr>
          <w:rFonts w:ascii="Times New Roman" w:eastAsia="Calibri" w:hAnsi="Times New Roman" w:cs="Times New Roman"/>
          <w:sz w:val="24"/>
          <w:szCs w:val="24"/>
          <w:lang w:eastAsia="en-GB"/>
        </w:rPr>
        <w:t xml:space="preserve">not </w:t>
      </w:r>
      <w:r w:rsidRPr="00E94A66">
        <w:rPr>
          <w:rFonts w:ascii="Times New Roman" w:eastAsia="Calibri" w:hAnsi="Times New Roman" w:cs="Times New Roman"/>
          <w:sz w:val="24"/>
          <w:szCs w:val="24"/>
          <w:lang w:eastAsia="en-GB"/>
        </w:rPr>
        <w:t>been created with the intention described in item (iv) above as established by a final judgment or a final administrative decision; or</w:t>
      </w:r>
    </w:p>
    <w:p w14:paraId="1ED82CBA" w14:textId="79EF521E" w:rsidR="00166A16" w:rsidRPr="00E94A66" w:rsidRDefault="00166A16" w:rsidP="00166A16">
      <w:pPr>
        <w:numPr>
          <w:ilvl w:val="0"/>
          <w:numId w:val="1"/>
        </w:numPr>
        <w:spacing w:before="120" w:after="120" w:line="240" w:lineRule="auto"/>
        <w:ind w:left="720" w:firstLine="450"/>
        <w:jc w:val="both"/>
        <w:rPr>
          <w:rFonts w:ascii="Times New Roman" w:eastAsia="Calibri" w:hAnsi="Times New Roman" w:cs="Times New Roman"/>
          <w:sz w:val="24"/>
          <w:szCs w:val="24"/>
          <w:lang w:eastAsia="en-GB"/>
        </w:rPr>
      </w:pPr>
      <w:r w:rsidRPr="00E94A66">
        <w:rPr>
          <w:rFonts w:ascii="Times New Roman" w:eastAsia="Calibri" w:hAnsi="Times New Roman" w:cs="Times New Roman"/>
          <w:sz w:val="24"/>
          <w:szCs w:val="24"/>
          <w:lang w:eastAsia="en-GB"/>
        </w:rPr>
        <w:t xml:space="preserve">are </w:t>
      </w:r>
      <w:r w:rsidR="007306A7" w:rsidRPr="00E94A66">
        <w:rPr>
          <w:rFonts w:ascii="Times New Roman" w:eastAsia="Calibri" w:hAnsi="Times New Roman" w:cs="Times New Roman"/>
          <w:sz w:val="24"/>
          <w:szCs w:val="24"/>
          <w:lang w:eastAsia="en-GB"/>
        </w:rPr>
        <w:t xml:space="preserve">not </w:t>
      </w:r>
      <w:r w:rsidRPr="00E94A66">
        <w:rPr>
          <w:rFonts w:ascii="Times New Roman" w:eastAsia="Calibri" w:hAnsi="Times New Roman" w:cs="Times New Roman"/>
          <w:sz w:val="24"/>
          <w:szCs w:val="24"/>
          <w:lang w:eastAsia="en-GB"/>
        </w:rPr>
        <w:t>Sanctioned Persons.</w:t>
      </w:r>
    </w:p>
    <w:p w14:paraId="69E30C51" w14:textId="465C6900" w:rsidR="00156FC8" w:rsidRPr="00E94A66" w:rsidRDefault="00156FC8" w:rsidP="00166A16">
      <w:pPr>
        <w:spacing w:before="120" w:after="120" w:line="240" w:lineRule="auto"/>
        <w:jc w:val="both"/>
        <w:rPr>
          <w:rFonts w:ascii="Times New Roman" w:eastAsia="Calibri" w:hAnsi="Times New Roman" w:cs="Times New Roman"/>
          <w:sz w:val="24"/>
          <w:szCs w:val="24"/>
          <w:lang w:eastAsia="en-GB"/>
        </w:rPr>
      </w:pPr>
    </w:p>
    <w:tbl>
      <w:tblPr>
        <w:tblW w:w="0" w:type="auto"/>
        <w:tblLayout w:type="fixed"/>
        <w:tblLook w:val="0000" w:firstRow="0" w:lastRow="0" w:firstColumn="0" w:lastColumn="0" w:noHBand="0" w:noVBand="0"/>
      </w:tblPr>
      <w:tblGrid>
        <w:gridCol w:w="3080"/>
        <w:gridCol w:w="3068"/>
        <w:gridCol w:w="3094"/>
      </w:tblGrid>
      <w:tr w:rsidR="00A92889" w:rsidRPr="00E94A66" w14:paraId="7D5EADC8" w14:textId="77777777" w:rsidTr="00300B61">
        <w:tc>
          <w:tcPr>
            <w:tcW w:w="3080" w:type="dxa"/>
            <w:shd w:val="clear" w:color="auto" w:fill="auto"/>
            <w:vAlign w:val="center"/>
          </w:tcPr>
          <w:p w14:paraId="7EF501EB" w14:textId="77777777" w:rsidR="00A92889" w:rsidRPr="00E94A66" w:rsidRDefault="00A92889" w:rsidP="00A92889">
            <w:pPr>
              <w:spacing w:before="120" w:after="120" w:line="240" w:lineRule="auto"/>
              <w:jc w:val="both"/>
              <w:rPr>
                <w:rFonts w:ascii="Times New Roman" w:eastAsia="Calibri" w:hAnsi="Times New Roman" w:cs="Times New Roman"/>
                <w:bCs/>
                <w:sz w:val="24"/>
                <w:szCs w:val="24"/>
                <w:lang w:val="en-US" w:eastAsia="en-GB"/>
              </w:rPr>
            </w:pPr>
            <w:r w:rsidRPr="00E94A66">
              <w:rPr>
                <w:rFonts w:ascii="Times New Roman" w:eastAsia="Calibri" w:hAnsi="Times New Roman" w:cs="Times New Roman"/>
                <w:bCs/>
                <w:sz w:val="24"/>
                <w:szCs w:val="24"/>
                <w:lang w:val="en-US" w:eastAsia="en-GB"/>
              </w:rPr>
              <w:t>Date:</w:t>
            </w:r>
          </w:p>
        </w:tc>
        <w:tc>
          <w:tcPr>
            <w:tcW w:w="3068" w:type="dxa"/>
            <w:shd w:val="clear" w:color="auto" w:fill="auto"/>
            <w:vAlign w:val="center"/>
          </w:tcPr>
          <w:p w14:paraId="185792C7" w14:textId="77777777" w:rsidR="00A92889" w:rsidRPr="00E94A66" w:rsidRDefault="00A92889" w:rsidP="00A92889">
            <w:pPr>
              <w:spacing w:before="120" w:after="120" w:line="240" w:lineRule="auto"/>
              <w:jc w:val="both"/>
              <w:rPr>
                <w:rFonts w:ascii="Times New Roman" w:eastAsia="Calibri" w:hAnsi="Times New Roman" w:cs="Times New Roman"/>
                <w:bCs/>
                <w:sz w:val="24"/>
                <w:szCs w:val="24"/>
                <w:lang w:val="en-US" w:eastAsia="en-GB"/>
              </w:rPr>
            </w:pPr>
          </w:p>
        </w:tc>
        <w:tc>
          <w:tcPr>
            <w:tcW w:w="3094" w:type="dxa"/>
            <w:shd w:val="clear" w:color="auto" w:fill="auto"/>
            <w:vAlign w:val="center"/>
          </w:tcPr>
          <w:p w14:paraId="72A6A040" w14:textId="4F77F6F4" w:rsidR="00A92889" w:rsidRPr="00E94A66" w:rsidRDefault="00A92889" w:rsidP="00A92889">
            <w:pPr>
              <w:spacing w:before="120" w:after="120" w:line="240" w:lineRule="auto"/>
              <w:jc w:val="both"/>
              <w:rPr>
                <w:rFonts w:ascii="Times New Roman" w:eastAsia="Calibri" w:hAnsi="Times New Roman" w:cs="Times New Roman"/>
                <w:bCs/>
                <w:sz w:val="24"/>
                <w:szCs w:val="24"/>
                <w:lang w:val="en-US" w:eastAsia="en-GB"/>
              </w:rPr>
            </w:pPr>
            <w:r w:rsidRPr="00E94A66">
              <w:rPr>
                <w:rFonts w:ascii="Times New Roman" w:eastAsia="Calibri" w:hAnsi="Times New Roman" w:cs="Times New Roman"/>
                <w:bCs/>
                <w:sz w:val="24"/>
                <w:szCs w:val="24"/>
                <w:lang w:val="en-US" w:eastAsia="en-GB"/>
              </w:rPr>
              <w:t>Bidder’s signature</w:t>
            </w:r>
            <w:r w:rsidR="002E79A3" w:rsidRPr="00E94A66">
              <w:rPr>
                <w:rFonts w:ascii="Times New Roman" w:eastAsia="Calibri" w:hAnsi="Times New Roman" w:cs="Times New Roman"/>
                <w:bCs/>
                <w:sz w:val="24"/>
                <w:szCs w:val="24"/>
                <w:lang w:val="en-US" w:eastAsia="en-GB"/>
              </w:rPr>
              <w:t>:</w:t>
            </w:r>
          </w:p>
        </w:tc>
      </w:tr>
      <w:tr w:rsidR="00A92889" w:rsidRPr="00E94A66" w14:paraId="3CCA4419" w14:textId="77777777" w:rsidTr="00300B61">
        <w:tc>
          <w:tcPr>
            <w:tcW w:w="3080" w:type="dxa"/>
            <w:tcBorders>
              <w:bottom w:val="single" w:sz="4" w:space="0" w:color="000000"/>
            </w:tcBorders>
            <w:shd w:val="clear" w:color="auto" w:fill="auto"/>
          </w:tcPr>
          <w:p w14:paraId="343DDFA5" w14:textId="77777777" w:rsidR="00A92889" w:rsidRPr="00E94A66" w:rsidRDefault="00A92889" w:rsidP="00A92889">
            <w:pPr>
              <w:spacing w:before="120" w:after="120" w:line="240" w:lineRule="auto"/>
              <w:jc w:val="both"/>
              <w:rPr>
                <w:rFonts w:ascii="Times New Roman" w:eastAsia="Calibri" w:hAnsi="Times New Roman" w:cs="Times New Roman"/>
                <w:bCs/>
                <w:sz w:val="24"/>
                <w:szCs w:val="24"/>
                <w:lang w:val="en-US" w:eastAsia="en-GB"/>
              </w:rPr>
            </w:pPr>
          </w:p>
        </w:tc>
        <w:tc>
          <w:tcPr>
            <w:tcW w:w="3068" w:type="dxa"/>
            <w:shd w:val="clear" w:color="auto" w:fill="auto"/>
          </w:tcPr>
          <w:p w14:paraId="44B99EDF" w14:textId="77777777" w:rsidR="00A92889" w:rsidRPr="00E94A66" w:rsidRDefault="00A92889" w:rsidP="00A92889">
            <w:pPr>
              <w:spacing w:before="120" w:after="120" w:line="240" w:lineRule="auto"/>
              <w:jc w:val="both"/>
              <w:rPr>
                <w:rFonts w:ascii="Times New Roman" w:eastAsia="Calibri" w:hAnsi="Times New Roman" w:cs="Times New Roman"/>
                <w:bCs/>
                <w:sz w:val="24"/>
                <w:szCs w:val="24"/>
                <w:lang w:val="en-US" w:eastAsia="en-GB"/>
              </w:rPr>
            </w:pPr>
          </w:p>
        </w:tc>
        <w:tc>
          <w:tcPr>
            <w:tcW w:w="3094" w:type="dxa"/>
            <w:tcBorders>
              <w:bottom w:val="single" w:sz="4" w:space="0" w:color="000000"/>
            </w:tcBorders>
            <w:shd w:val="clear" w:color="auto" w:fill="auto"/>
          </w:tcPr>
          <w:p w14:paraId="2010BA5D" w14:textId="77777777" w:rsidR="00A92889" w:rsidRPr="00E94A66" w:rsidRDefault="00A92889" w:rsidP="00A92889">
            <w:pPr>
              <w:spacing w:before="120" w:after="120" w:line="240" w:lineRule="auto"/>
              <w:jc w:val="both"/>
              <w:rPr>
                <w:rFonts w:ascii="Times New Roman" w:eastAsia="Calibri" w:hAnsi="Times New Roman" w:cs="Times New Roman"/>
                <w:bCs/>
                <w:sz w:val="24"/>
                <w:szCs w:val="24"/>
                <w:lang w:val="en-US" w:eastAsia="en-GB"/>
              </w:rPr>
            </w:pPr>
          </w:p>
        </w:tc>
      </w:tr>
    </w:tbl>
    <w:p w14:paraId="36A34368" w14:textId="77777777" w:rsidR="00A92889" w:rsidRPr="00E94A66" w:rsidRDefault="00A92889" w:rsidP="00A92889">
      <w:pPr>
        <w:spacing w:before="120" w:after="120" w:line="240" w:lineRule="auto"/>
        <w:jc w:val="both"/>
        <w:rPr>
          <w:rFonts w:ascii="Times New Roman" w:eastAsia="Calibri" w:hAnsi="Times New Roman" w:cs="Times New Roman"/>
          <w:bCs/>
          <w:sz w:val="24"/>
          <w:szCs w:val="24"/>
          <w:lang w:val="en-US" w:eastAsia="en-GB"/>
        </w:rPr>
      </w:pPr>
    </w:p>
    <w:p w14:paraId="305DBBD5" w14:textId="77777777" w:rsidR="00A92889" w:rsidRPr="00E94A66" w:rsidRDefault="00A92889" w:rsidP="00A92889">
      <w:pPr>
        <w:spacing w:before="120" w:after="120" w:line="240" w:lineRule="auto"/>
        <w:jc w:val="both"/>
        <w:rPr>
          <w:rFonts w:ascii="Times New Roman" w:eastAsia="Calibri" w:hAnsi="Times New Roman" w:cs="Times New Roman"/>
          <w:bCs/>
          <w:sz w:val="24"/>
          <w:szCs w:val="24"/>
          <w:lang w:eastAsia="en-GB"/>
        </w:rPr>
      </w:pPr>
    </w:p>
    <w:p w14:paraId="6234FC37" w14:textId="25BCB44E" w:rsidR="00156FC8" w:rsidRDefault="00156FC8" w:rsidP="00166A16">
      <w:pPr>
        <w:spacing w:before="120" w:after="120" w:line="240" w:lineRule="auto"/>
        <w:jc w:val="both"/>
        <w:rPr>
          <w:rFonts w:ascii="Calibri" w:eastAsia="Calibri" w:hAnsi="Calibri" w:cs="Calibri"/>
          <w:lang w:eastAsia="en-GB"/>
        </w:rPr>
      </w:pPr>
    </w:p>
    <w:p w14:paraId="535DE482" w14:textId="541436B4" w:rsidR="00156FC8" w:rsidRDefault="00156FC8" w:rsidP="00166A16">
      <w:pPr>
        <w:spacing w:before="120" w:after="120" w:line="240" w:lineRule="auto"/>
        <w:jc w:val="both"/>
        <w:rPr>
          <w:rFonts w:ascii="Calibri" w:eastAsia="Calibri" w:hAnsi="Calibri" w:cs="Calibri"/>
          <w:lang w:eastAsia="en-GB"/>
        </w:rPr>
      </w:pPr>
    </w:p>
    <w:p w14:paraId="26836B50" w14:textId="77777777" w:rsidR="00156FC8" w:rsidRDefault="00156FC8" w:rsidP="00166A16">
      <w:pPr>
        <w:spacing w:before="120" w:after="120" w:line="240" w:lineRule="auto"/>
        <w:jc w:val="both"/>
        <w:rPr>
          <w:rFonts w:ascii="Calibri" w:eastAsia="Calibri" w:hAnsi="Calibri" w:cs="Calibri"/>
          <w:lang w:eastAsia="en-GB"/>
        </w:rPr>
      </w:pPr>
    </w:p>
    <w:p w14:paraId="610E4ADB" w14:textId="24447A6F" w:rsidR="00166A16" w:rsidRPr="004C77C8" w:rsidRDefault="00166A16" w:rsidP="00166A16">
      <w:pPr>
        <w:spacing w:before="120" w:after="120" w:line="240" w:lineRule="auto"/>
        <w:jc w:val="both"/>
        <w:rPr>
          <w:rFonts w:ascii="Arial" w:eastAsia="Calibri" w:hAnsi="Arial" w:cs="Arial"/>
          <w:i/>
          <w:iCs/>
          <w:sz w:val="16"/>
          <w:szCs w:val="16"/>
          <w:lang w:eastAsia="en-GB"/>
        </w:rPr>
      </w:pPr>
      <w:r w:rsidRPr="004C77C8">
        <w:rPr>
          <w:rFonts w:ascii="Arial" w:eastAsia="Calibri" w:hAnsi="Arial" w:cs="Arial"/>
          <w:i/>
          <w:iCs/>
          <w:sz w:val="16"/>
          <w:szCs w:val="16"/>
          <w:lang w:eastAsia="en-GB"/>
        </w:rPr>
        <w:t>Contracting Authority undertakes to (1) document any research, proofs, and verifications related to points (i) to (vi) above; and (2) inform any third party found in one of the situations referred to above, that its data shall be transmitted to the CEB and that it may be included in the Early Detection and Exclusion System** and published on the website of the European Commission.</w:t>
      </w:r>
    </w:p>
    <w:p w14:paraId="66389244" w14:textId="77777777" w:rsidR="00166A16" w:rsidRPr="004C77C8" w:rsidRDefault="00166A16" w:rsidP="00166A16">
      <w:pPr>
        <w:spacing w:after="0" w:line="20" w:lineRule="atLeast"/>
        <w:ind w:left="720"/>
        <w:jc w:val="both"/>
        <w:rPr>
          <w:rFonts w:ascii="Arial" w:eastAsia="Calibri" w:hAnsi="Arial" w:cs="Arial"/>
          <w:i/>
          <w:iCs/>
          <w:sz w:val="16"/>
          <w:szCs w:val="16"/>
          <w:lang w:eastAsia="en-GB"/>
        </w:rPr>
      </w:pPr>
    </w:p>
    <w:p w14:paraId="09BEDF8F" w14:textId="1DD5F1A5" w:rsidR="00166A16" w:rsidRPr="004C77C8" w:rsidRDefault="00B1461F" w:rsidP="00166A16">
      <w:pPr>
        <w:spacing w:before="120" w:after="120" w:line="240" w:lineRule="auto"/>
        <w:jc w:val="both"/>
        <w:rPr>
          <w:rFonts w:ascii="Arial" w:eastAsia="Calibri" w:hAnsi="Arial" w:cs="Arial"/>
          <w:i/>
          <w:iCs/>
          <w:sz w:val="16"/>
          <w:szCs w:val="16"/>
          <w:lang w:eastAsia="en-GB"/>
        </w:rPr>
      </w:pPr>
      <w:r>
        <w:rPr>
          <w:rFonts w:ascii="Arial" w:eastAsia="Calibri" w:hAnsi="Arial" w:cs="Arial"/>
          <w:i/>
          <w:iCs/>
          <w:sz w:val="16"/>
          <w:szCs w:val="16"/>
          <w:lang w:eastAsia="en-GB"/>
        </w:rPr>
        <w:t>**”</w:t>
      </w:r>
      <w:r w:rsidR="00166A16" w:rsidRPr="004C77C8">
        <w:rPr>
          <w:rFonts w:ascii="Arial" w:eastAsia="Calibri" w:hAnsi="Arial" w:cs="Arial"/>
          <w:i/>
          <w:iCs/>
          <w:sz w:val="16"/>
          <w:szCs w:val="16"/>
          <w:lang w:eastAsia="en-GB"/>
        </w:rPr>
        <w:t xml:space="preserve">Early Detection and Exclusion System” means the system set up by Regulation (EU, Euratom) No 2015/1929 of 28 October 2015, as further amended or substituted, on the financial rules applicable to the general budget of the Union (OJ L 286/1, 30.10.2015) which includes information on the early detection of risks threatening the EU financial interests, on the cases of exclusion from EU funding of legal and natural persons and on the cases of imposition of financial penalties, as available in the official EU website: </w:t>
      </w:r>
    </w:p>
    <w:p w14:paraId="654301DA" w14:textId="77777777" w:rsidR="003F5EDB" w:rsidRDefault="00E94A66" w:rsidP="00A92889">
      <w:pPr>
        <w:spacing w:before="120" w:after="120" w:line="240" w:lineRule="auto"/>
        <w:jc w:val="both"/>
        <w:rPr>
          <w:rFonts w:ascii="Arial" w:eastAsia="Calibri" w:hAnsi="Arial" w:cs="Arial"/>
          <w:i/>
          <w:iCs/>
          <w:sz w:val="16"/>
          <w:szCs w:val="16"/>
          <w:lang w:eastAsia="en-GB"/>
        </w:rPr>
      </w:pPr>
      <w:hyperlink r:id="rId5" w:history="1">
        <w:r w:rsidR="00166A16" w:rsidRPr="004C77C8">
          <w:rPr>
            <w:rFonts w:ascii="Arial" w:eastAsia="Calibri" w:hAnsi="Arial" w:cs="Arial"/>
            <w:i/>
            <w:iCs/>
            <w:sz w:val="16"/>
            <w:szCs w:val="16"/>
            <w:lang w:eastAsia="en-GB"/>
          </w:rPr>
          <w:t>https://ec.europa.eu/info/strategy/eu-budget/how-it-works/annual-lifecycle/implementation/anti-fraud-measures/edes/database_en</w:t>
        </w:r>
      </w:hyperlink>
    </w:p>
    <w:p w14:paraId="0DECCE97" w14:textId="6409C121" w:rsidR="00E40F66" w:rsidRPr="004C77C8" w:rsidRDefault="00166A16" w:rsidP="00A92889">
      <w:pPr>
        <w:spacing w:before="120" w:after="120" w:line="240" w:lineRule="auto"/>
        <w:jc w:val="both"/>
        <w:rPr>
          <w:rFonts w:ascii="Arial" w:eastAsia="Calibri" w:hAnsi="Arial" w:cs="Arial"/>
          <w:i/>
          <w:iCs/>
          <w:sz w:val="16"/>
          <w:szCs w:val="16"/>
          <w:lang w:eastAsia="en-GB"/>
        </w:rPr>
      </w:pPr>
      <w:r w:rsidRPr="004C77C8">
        <w:rPr>
          <w:rFonts w:ascii="Arial" w:eastAsia="Calibri" w:hAnsi="Arial" w:cs="Arial"/>
          <w:i/>
          <w:iCs/>
          <w:sz w:val="16"/>
          <w:szCs w:val="16"/>
          <w:lang w:eastAsia="en-GB"/>
        </w:rPr>
        <w:t>or on any successor page, as amended and supplemented from time to time</w:t>
      </w:r>
      <w:r w:rsidR="00B1461F">
        <w:rPr>
          <w:rFonts w:ascii="Arial" w:eastAsia="Calibri" w:hAnsi="Arial" w:cs="Arial"/>
          <w:i/>
          <w:iCs/>
          <w:sz w:val="16"/>
          <w:szCs w:val="16"/>
          <w:lang w:eastAsia="en-GB"/>
        </w:rPr>
        <w:t xml:space="preserve">. </w:t>
      </w:r>
    </w:p>
    <w:sectPr w:rsidR="00E40F66" w:rsidRPr="004C77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E73E7"/>
    <w:multiLevelType w:val="hybridMultilevel"/>
    <w:tmpl w:val="2C704626"/>
    <w:lvl w:ilvl="0" w:tplc="AAFC2342">
      <w:start w:val="1"/>
      <w:numFmt w:val="lowerRoman"/>
      <w:lvlText w:val="(%1)"/>
      <w:lvlJc w:val="left"/>
      <w:pPr>
        <w:ind w:left="2520" w:hanging="360"/>
      </w:pPr>
    </w:lvl>
    <w:lvl w:ilvl="1" w:tplc="040C0019">
      <w:start w:val="1"/>
      <w:numFmt w:val="lowerLetter"/>
      <w:lvlText w:val="%2."/>
      <w:lvlJc w:val="left"/>
      <w:pPr>
        <w:ind w:left="3240" w:hanging="360"/>
      </w:pPr>
    </w:lvl>
    <w:lvl w:ilvl="2" w:tplc="040C001B">
      <w:start w:val="1"/>
      <w:numFmt w:val="lowerRoman"/>
      <w:lvlText w:val="%3."/>
      <w:lvlJc w:val="right"/>
      <w:pPr>
        <w:ind w:left="3960" w:hanging="180"/>
      </w:pPr>
    </w:lvl>
    <w:lvl w:ilvl="3" w:tplc="040C000F">
      <w:start w:val="1"/>
      <w:numFmt w:val="decimal"/>
      <w:lvlText w:val="%4."/>
      <w:lvlJc w:val="left"/>
      <w:pPr>
        <w:ind w:left="4680" w:hanging="360"/>
      </w:pPr>
    </w:lvl>
    <w:lvl w:ilvl="4" w:tplc="040C0019">
      <w:start w:val="1"/>
      <w:numFmt w:val="lowerLetter"/>
      <w:lvlText w:val="%5."/>
      <w:lvlJc w:val="left"/>
      <w:pPr>
        <w:ind w:left="5400" w:hanging="360"/>
      </w:pPr>
    </w:lvl>
    <w:lvl w:ilvl="5" w:tplc="040C001B">
      <w:start w:val="1"/>
      <w:numFmt w:val="lowerRoman"/>
      <w:lvlText w:val="%6."/>
      <w:lvlJc w:val="right"/>
      <w:pPr>
        <w:ind w:left="6120" w:hanging="180"/>
      </w:pPr>
    </w:lvl>
    <w:lvl w:ilvl="6" w:tplc="040C000F">
      <w:start w:val="1"/>
      <w:numFmt w:val="decimal"/>
      <w:lvlText w:val="%7."/>
      <w:lvlJc w:val="left"/>
      <w:pPr>
        <w:ind w:left="6840" w:hanging="360"/>
      </w:pPr>
    </w:lvl>
    <w:lvl w:ilvl="7" w:tplc="040C0019">
      <w:start w:val="1"/>
      <w:numFmt w:val="lowerLetter"/>
      <w:lvlText w:val="%8."/>
      <w:lvlJc w:val="left"/>
      <w:pPr>
        <w:ind w:left="7560" w:hanging="360"/>
      </w:pPr>
    </w:lvl>
    <w:lvl w:ilvl="8" w:tplc="040C001B">
      <w:start w:val="1"/>
      <w:numFmt w:val="lowerRoman"/>
      <w:lvlText w:val="%9."/>
      <w:lvlJc w:val="right"/>
      <w:pPr>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BC6"/>
    <w:rsid w:val="001346BC"/>
    <w:rsid w:val="00156FC8"/>
    <w:rsid w:val="00166A16"/>
    <w:rsid w:val="002E79A3"/>
    <w:rsid w:val="003F5EDB"/>
    <w:rsid w:val="004C77C8"/>
    <w:rsid w:val="007306A7"/>
    <w:rsid w:val="00A014F7"/>
    <w:rsid w:val="00A92889"/>
    <w:rsid w:val="00B1461F"/>
    <w:rsid w:val="00BD2BC6"/>
    <w:rsid w:val="00C32567"/>
    <w:rsid w:val="00E40F66"/>
    <w:rsid w:val="00E94A66"/>
    <w:rsid w:val="00EF7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FCAD"/>
  <w15:chartTrackingRefBased/>
  <w15:docId w15:val="{6FB1EECB-42CB-4EB2-B47D-8958D7D6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0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europa.eu/info/strategy/eu-budget/how-it-works/annual-lifecycle/implementation/anti-fraud-measures/edes/database_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Nenadić</dc:creator>
  <cp:keywords/>
  <dc:description/>
  <cp:lastModifiedBy>Stanja Kakuca</cp:lastModifiedBy>
  <cp:revision>8</cp:revision>
  <dcterms:created xsi:type="dcterms:W3CDTF">2023-10-11T11:24:00Z</dcterms:created>
  <dcterms:modified xsi:type="dcterms:W3CDTF">2025-07-23T08:25:00Z</dcterms:modified>
</cp:coreProperties>
</file>