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ПРОЈЕКТНИ ЗАДАТАК ЗА ИЗРАДУ ПРОЈЕКТНО ТЕХНИЧКЕ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ДОКУМЕНТАЦИЈЕ ЗА ЈАВНУ ПАРКИНГ ГАРАЖУ НА КАТАСТАРСКОЈ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ПАРЦЕЛИ БРОЈ 1017/8 КО ЧАЧАК</w:t>
      </w:r>
    </w:p>
    <w:p>
      <w:pPr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УВОД</w:t>
      </w:r>
    </w:p>
    <w:p>
      <w:pPr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jc w:val="both"/>
        <w:rPr>
          <w:sz w:val="22"/>
          <w:szCs w:val="22"/>
          <w:lang w:val="sr-Cyrl-C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 xml:space="preserve">У непосредној близини аутобуског терминала, на ободу градског центра (на простору између улица Ломине, Железничке, Кужељеве и Милете Ћурчића)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Планом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г</w:t>
      </w:r>
      <w:r>
        <w:rPr>
          <w:rFonts w:hint="default" w:ascii="Times New Roman" w:hAnsi="Times New Roman" w:eastAsia="CIDFont+F3" w:cs="Times New Roman"/>
          <w:sz w:val="24"/>
          <w:szCs w:val="24"/>
        </w:rPr>
        <w:t>енералне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р</w:t>
      </w:r>
      <w:r>
        <w:rPr>
          <w:rFonts w:hint="default" w:ascii="Times New Roman" w:hAnsi="Times New Roman" w:eastAsia="CIDFont+F3" w:cs="Times New Roman"/>
          <w:sz w:val="24"/>
          <w:szCs w:val="24"/>
        </w:rPr>
        <w:t>егулације „Центар“ у Чачку („Сл. лист града Чачка“ 15/2014 и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27/2018) у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Урбанистичкој зони 5 – у урбанистичк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oj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целин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и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5.2,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>планирана је јавна вишеетажна паркинг гаража са пратећим садржајима у циљу превазилажења проблема паркирања у градском центру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. 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Latn-RS"/>
        </w:rPr>
      </w:pP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ЛОКАЦИЈА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Јавна паркинг гаража са пратећи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м услужним и комерцијалним </w:t>
      </w:r>
      <w:r>
        <w:rPr>
          <w:rFonts w:hint="default" w:ascii="Times New Roman" w:hAnsi="Times New Roman" w:eastAsia="CIDFont+F3" w:cs="Times New Roman"/>
          <w:sz w:val="24"/>
          <w:szCs w:val="24"/>
        </w:rPr>
        <w:t>садржајима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планирана је  на катастарској парцели број 1017/8 К.О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.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Чачак површине 28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38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m</w:t>
      </w:r>
      <w:r>
        <w:rPr>
          <w:rFonts w:hint="default" w:ascii="Times New Roman" w:hAnsi="Times New Roman" w:eastAsia="CIDFont+F3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.</w:t>
      </w:r>
    </w:p>
    <w:p>
      <w:pPr>
        <w:spacing w:beforeLines="0" w:afterLines="0"/>
        <w:jc w:val="both"/>
        <w:rPr>
          <w:rFonts w:hint="default" w:eastAsia="CIDFont+F3" w:cs="Times New Roman"/>
          <w:sz w:val="24"/>
          <w:szCs w:val="24"/>
          <w:highlight w:val="none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Предвидети укупно око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4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0</w:t>
      </w:r>
      <w:r>
        <w:rPr>
          <w:rFonts w:hint="default" w:ascii="Times New Roman" w:hAnsi="Times New Roman" w:eastAsia="CIDFont+F3" w:cs="Times New Roman"/>
          <w:sz w:val="24"/>
          <w:szCs w:val="24"/>
        </w:rPr>
        <w:t>0 паркинг места на свим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ета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жама ± до 10%</w:t>
      </w:r>
      <w:r>
        <w:rPr>
          <w:rFonts w:hint="default" w:eastAsia="CIDFont+F3" w:cs="Times New Roman"/>
          <w:sz w:val="24"/>
          <w:szCs w:val="24"/>
          <w:highlight w:val="none"/>
          <w:lang w:val="sr-Cyrl-RS"/>
        </w:rPr>
        <w:t>, 5 паркинг места са пуњачима за електрична возила и не мање од 10 паркинг места за особе са посебним потребама , а све према важећем правилнику и стандарду.</w:t>
      </w:r>
    </w:p>
    <w:p>
      <w:pPr>
        <w:spacing w:beforeLines="0" w:afterLines="0"/>
        <w:jc w:val="both"/>
        <w:rPr>
          <w:rFonts w:hint="default" w:eastAsia="CIDFont+F3" w:cs="Times New Roman"/>
          <w:sz w:val="24"/>
          <w:szCs w:val="24"/>
          <w:highlight w:val="none"/>
          <w:lang w:val="sr-Cyrl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C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 xml:space="preserve">У приземљу објекат </w:t>
      </w:r>
      <w:r>
        <w:rPr>
          <w:rFonts w:hint="default" w:eastAsia="CIDFont+F3" w:cs="Times New Roman"/>
          <w:sz w:val="24"/>
          <w:szCs w:val="24"/>
          <w:lang w:val="sr-Cyrl-RS"/>
        </w:rPr>
        <w:t xml:space="preserve">је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>подељен на два дела, обзиром на пролазак улице Браће Глишића.</w:t>
      </w:r>
    </w:p>
    <w:p>
      <w:pPr>
        <w:spacing w:beforeLines="0" w:afterLines="0"/>
        <w:jc w:val="both"/>
        <w:rPr>
          <w:sz w:val="22"/>
          <w:szCs w:val="22"/>
          <w:lang w:val="sr-Cyrl-C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 xml:space="preserve">У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приземљу објекта планирати јавни тоалет, а у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>делу орјентисаном ка  Кужељевој улици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 xml:space="preserve">предвидети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већи део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CS"/>
        </w:rPr>
        <w:t>пословн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ог простора.</w:t>
      </w: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НАЧИН СПРОВОЂЕЊА КОНТРОЛЕ И ОБЕЗБЕЂИВАЊА ГАРАНЦИЈЕ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КВАЛИТЕТА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Технички прописи и стандарди који се примењују: Закон о планирању и изградњи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("Сл. гласник РС", бр. 72/2009, 81/2009 - испр., 64/2010 - одлука УС, 24/2011,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121/2012, 42/2013 - одлука УС, 50/2013 - одлука УС, 98/2013 - одлука УС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, </w:t>
      </w:r>
      <w:r>
        <w:rPr>
          <w:rFonts w:hint="default" w:ascii="Times New Roman" w:hAnsi="Times New Roman" w:eastAsia="CIDFont+F3" w:cs="Times New Roman"/>
          <w:sz w:val="24"/>
          <w:szCs w:val="24"/>
        </w:rPr>
        <w:t>132/2014, 145/2014, 83/2018, 31/2019, 37/2019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-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др.закон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9/2020, 52/2021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и 62/2023</w:t>
      </w:r>
      <w:r>
        <w:rPr>
          <w:rFonts w:hint="default" w:ascii="Times New Roman" w:hAnsi="Times New Roman" w:eastAsia="CIDFont+F3" w:cs="Times New Roman"/>
          <w:sz w:val="24"/>
          <w:szCs w:val="24"/>
        </w:rPr>
        <w:t>),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Правилник о садржини, начину и поступку израде и начину вршења контроле техничке документације према класи и намени објеката („Сл.гласник РС“, бр.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73/2019), Правилник о техничким захтевима за заштиту гаража за путничке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аутомобиле од пожара и експлозиј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а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(„Сл. лист СЦГ“ бр. 31/2005), Правилник о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техничким стандардима планирања, пројектовања и изградње објеката, којима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се осигурава несметано кретање и приступ особама са инвалидитетом, деци и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старим особама (Сл.гласник РС“ бр. 22/2015), Правилник о поступку спровођења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обједињене процедуре електронским путем (Сл.гласник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РС“ бр. 68/2019) односно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у складу са важећим законским актима и припадајућим прописима.</w:t>
      </w: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ДЕО ИЗВОДА ИЗ ПЛАНСКЕ ДОКУМЕНТАЦИЈЕ, СМЕРНИЦЕ И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УРБАНИСТИЧКИ ПАРАМЕТРИ</w:t>
      </w: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Сходно планском акту План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г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енералне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р</w:t>
      </w:r>
      <w:r>
        <w:rPr>
          <w:rFonts w:hint="default" w:ascii="Times New Roman" w:hAnsi="Times New Roman" w:eastAsia="CIDFont+F3" w:cs="Times New Roman"/>
          <w:sz w:val="24"/>
          <w:szCs w:val="24"/>
        </w:rPr>
        <w:t>егулације „Центар“ у Чачку („Сл.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лист града Чачка“ 15/2014 и 27/2018) катастарска парцела број 1017/8 К.О Чачак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налази се у Урбанистичкој зони 5 – у саставу Урбанистичке целине 5.2 - јавна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паркинг гаража. Начелно су истакнуте најважније смернице за урбанистичку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целину: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Дозвољена намена - јавна паркинг гаража са пратећим услужним и комерцијалним  садржајима</w:t>
      </w:r>
      <w:r>
        <w:rPr>
          <w:rFonts w:hint="default"/>
          <w:sz w:val="24"/>
          <w:szCs w:val="24"/>
          <w:lang w:val="sr-Cyrl-RS"/>
        </w:rPr>
        <w:t>.</w:t>
      </w:r>
      <w:r>
        <w:rPr>
          <w:sz w:val="24"/>
          <w:szCs w:val="24"/>
          <w:lang w:val="sr-Cyrl-CS"/>
        </w:rPr>
        <w:t xml:space="preserve"> У склопу гараже потребно је предвидети службене просторије за особље, и то: контролне и благајничке просторије, просторије за обезбеђење, санитарне просторије и техничке просторије за инсталациону опрему, а према могућству и простор за прање аутомобила и др. 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Максимална спратност објекта је По+П+4 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Дозвољена је изградња и више подземних нивоа уколико дозвољавају геомеханички и хидротехнички услови.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Положај објекта одређен је грађевинском линијом која је дефинисана у односу на регулациону линију. Објекат поставити на или унутар грађевинске линије (Карта урбанистичке регулације и површина јавне намене). </w:t>
      </w:r>
      <w:r>
        <w:rPr>
          <w:sz w:val="24"/>
          <w:szCs w:val="24"/>
          <w:lang w:val="sr-Cyrl-RS"/>
        </w:rPr>
        <w:t>З</w:t>
      </w:r>
      <w:r>
        <w:rPr>
          <w:sz w:val="24"/>
          <w:szCs w:val="24"/>
          <w:lang w:val="sl-SI"/>
        </w:rPr>
        <w:t>а четврту етажу</w:t>
      </w:r>
      <w:r>
        <w:rPr>
          <w:b/>
          <w:sz w:val="24"/>
          <w:szCs w:val="24"/>
          <w:lang w:val="sl-SI"/>
        </w:rPr>
        <w:t xml:space="preserve">  </w:t>
      </w:r>
      <w:r>
        <w:rPr>
          <w:sz w:val="24"/>
          <w:szCs w:val="24"/>
          <w:lang w:val="sl-SI"/>
        </w:rPr>
        <w:t xml:space="preserve">грађевинска линија повучена </w:t>
      </w:r>
      <w:r>
        <w:rPr>
          <w:sz w:val="24"/>
          <w:szCs w:val="24"/>
          <w:lang w:val="sr-Cyrl-RS"/>
        </w:rPr>
        <w:t xml:space="preserve">је </w:t>
      </w:r>
      <w:r>
        <w:rPr>
          <w:sz w:val="24"/>
          <w:szCs w:val="24"/>
          <w:lang w:val="sl-SI"/>
        </w:rPr>
        <w:t>на мин 5.0</w:t>
      </w:r>
      <w:r>
        <w:rPr>
          <w:rFonts w:hint="default"/>
          <w:sz w:val="24"/>
          <w:szCs w:val="24"/>
          <w:lang w:val="sr-Latn-RS"/>
        </w:rPr>
        <w:t>m</w:t>
      </w:r>
      <w:r>
        <w:rPr>
          <w:sz w:val="24"/>
          <w:szCs w:val="24"/>
          <w:lang w:val="sl-SI"/>
        </w:rPr>
        <w:t xml:space="preserve"> у односу на основну грађевинску линију</w:t>
      </w:r>
      <w:r>
        <w:rPr>
          <w:sz w:val="24"/>
          <w:szCs w:val="24"/>
          <w:lang w:val="sr-Cyrl-CS"/>
        </w:rPr>
        <w:t>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Габарит подземне етаже може да буде и изван габарита основног објекта  при чему се не смеју прећи границе парцеле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Индекс заузетости грађевинске парцеле је</w:t>
      </w:r>
      <w:r>
        <w:rPr>
          <w:rFonts w:hint="default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ма</w:t>
      </w:r>
      <w:r>
        <w:rPr>
          <w:sz w:val="24"/>
          <w:szCs w:val="24"/>
          <w:lang w:val="sr-Cyrl-CS"/>
        </w:rPr>
        <w:t>ксимално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100</w:t>
      </w:r>
      <w:r>
        <w:rPr>
          <w:sz w:val="24"/>
          <w:szCs w:val="24"/>
        </w:rPr>
        <w:t>%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Приступ парцели остварити са јавне саобраћајнице: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приступ из Улице браће Глишића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Ширина улаза и излаза је мин. 2.5</w:t>
      </w:r>
      <w:r>
        <w:rPr>
          <w:rFonts w:hint="default"/>
          <w:sz w:val="24"/>
          <w:szCs w:val="24"/>
          <w:lang w:val="sr-Latn-RS"/>
        </w:rPr>
        <w:t>m</w:t>
      </w:r>
      <w:r>
        <w:rPr>
          <w:sz w:val="24"/>
          <w:szCs w:val="24"/>
          <w:lang w:val="sr-Cyrl-CS"/>
        </w:rPr>
        <w:t xml:space="preserve"> за један ток кретања возила.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Слободне површине око објекта поплочати, тако да служе за јавну употребу као пешачке комуникације.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слободним повр</w:t>
      </w:r>
      <w:r>
        <w:rPr>
          <w:sz w:val="24"/>
          <w:szCs w:val="24"/>
          <w:lang w:val="sr-Cyrl-RS"/>
        </w:rPr>
        <w:t>ш</w:t>
      </w:r>
      <w:r>
        <w:rPr>
          <w:sz w:val="24"/>
          <w:szCs w:val="24"/>
          <w:lang w:val="sr-Cyrl-CS"/>
        </w:rPr>
        <w:t>инама поставити жардињере са зеленилом и цвећем.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Приликом израде пројеката гараже за путничке аутомобиле обавезна је примена Правилника о техничким захтевима за заштиту гаража за путничке аутомобиле од пожара и експлозије („Сл. лист СЦГ“ бр. 31/2005)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sz w:val="24"/>
          <w:szCs w:val="24"/>
          <w:lang w:val="sr-Cyrl-C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Обавезна израда Урбанистичког пројекта за комплекс јавне гараже.</w:t>
      </w:r>
    </w:p>
    <w:p>
      <w:pPr>
        <w:jc w:val="both"/>
        <w:rPr>
          <w:b/>
          <w:color w:val="FF0000"/>
          <w:sz w:val="22"/>
          <w:szCs w:val="22"/>
          <w:lang w:val="sr-Cyrl-CS"/>
        </w:rPr>
      </w:pP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2" w:cs="Times New Roman"/>
          <w:sz w:val="24"/>
          <w:szCs w:val="24"/>
        </w:rPr>
      </w:pPr>
      <w:r>
        <w:rPr>
          <w:rFonts w:hint="default" w:ascii="Times New Roman" w:hAnsi="Times New Roman" w:eastAsia="CIDFont+F2" w:cs="Times New Roman"/>
          <w:sz w:val="24"/>
          <w:szCs w:val="24"/>
        </w:rPr>
        <w:t>ПРЕДМЕТ ПРОЈЕКТНОГ ЗАДАТКА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sz w:val="24"/>
          <w:szCs w:val="24"/>
          <w:lang w:val="sr-Cyrl-CS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Јавна гаража са пратећим услужним и комерцијалним садржајем, максималн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e </w:t>
      </w:r>
      <w:r>
        <w:rPr>
          <w:rFonts w:hint="default" w:ascii="Times New Roman" w:hAnsi="Times New Roman" w:eastAsia="CIDFont+F3" w:cs="Times New Roman"/>
          <w:sz w:val="24"/>
          <w:szCs w:val="24"/>
        </w:rPr>
        <w:t>спратност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и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објекта је </w:t>
      </w:r>
      <w:r>
        <w:rPr>
          <w:sz w:val="24"/>
          <w:szCs w:val="24"/>
          <w:lang w:val="sr-Cyrl-CS"/>
        </w:rPr>
        <w:t>По+П+4</w:t>
      </w:r>
      <w:r>
        <w:rPr>
          <w:rFonts w:hint="default"/>
          <w:sz w:val="24"/>
          <w:szCs w:val="24"/>
          <w:lang w:val="sr-Latn-RS"/>
        </w:rPr>
        <w:t xml:space="preserve">. </w:t>
      </w:r>
      <w:r>
        <w:rPr>
          <w:sz w:val="24"/>
          <w:szCs w:val="24"/>
          <w:lang w:val="sr-Cyrl-CS"/>
        </w:rPr>
        <w:t>Дозвољена је изградња и више подземних нивоа уколико дозвољавају геомеханички и хидротехнички услови.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Latn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Предвидети по два колска улаза и излаза из гараже</w:t>
      </w:r>
      <w:r>
        <w:rPr>
          <w:rFonts w:hint="default" w:eastAsia="CIDFont+F3" w:cs="Times New Roman"/>
          <w:sz w:val="24"/>
          <w:szCs w:val="24"/>
          <w:lang w:val="sr-Cyrl-RS"/>
        </w:rPr>
        <w:t xml:space="preserve"> у складу са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Правилник</w:t>
      </w:r>
      <w:r>
        <w:rPr>
          <w:rFonts w:hint="default" w:eastAsia="CIDFont+F3" w:cs="Times New Roman"/>
          <w:sz w:val="24"/>
          <w:szCs w:val="24"/>
          <w:lang w:val="sr-Cyrl-RS"/>
        </w:rPr>
        <w:t>ом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о техничким захтевима за заштиту гаража за путничке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аутомобиле од пожара и експлозиј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а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(„Сл. лист СЦГ“ бр. 31/2005)</w:t>
      </w:r>
      <w:r>
        <w:rPr>
          <w:rFonts w:hint="default" w:eastAsia="CIDFont+F3" w:cs="Times New Roman"/>
          <w:sz w:val="24"/>
          <w:szCs w:val="24"/>
          <w:lang w:val="sr-Cyrl-RS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Међуспратне таванице предвидети</w:t>
      </w:r>
      <w:r>
        <w:rPr>
          <w:rFonts w:hint="default" w:eastAsia="CIDFont+F3" w:cs="Times New Roman"/>
          <w:sz w:val="24"/>
          <w:szCs w:val="24"/>
          <w:lang w:val="sr-Cyrl-RS"/>
        </w:rPr>
        <w:t xml:space="preserve"> од преднапрегнутог бетона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распона 10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m</w:t>
      </w:r>
      <w:r>
        <w:rPr>
          <w:rFonts w:hint="default" w:eastAsia="CIDFont+F3" w:cs="Times New Roman"/>
          <w:sz w:val="24"/>
          <w:szCs w:val="24"/>
          <w:lang w:val="sr-Cyrl-RS"/>
        </w:rPr>
        <w:t xml:space="preserve"> и више у систему преднапрегнуте конструкције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.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Стубови морају бити увучени у односу на интерну саобраћајницу, ради лакшег паркирања возила.</w:t>
      </w:r>
      <w:bookmarkStart w:id="0" w:name="_GoBack"/>
      <w:bookmarkEnd w:id="0"/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Latn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Уколико је управно паркирање унутар гараже, саобраћајниц</w:t>
      </w:r>
      <w:r>
        <w:rPr>
          <w:rFonts w:hint="default" w:eastAsia="CIDFont+F3" w:cs="Times New Roman"/>
          <w:sz w:val="24"/>
          <w:szCs w:val="24"/>
          <w:lang w:val="sr-Cyrl-RS"/>
        </w:rPr>
        <w:t>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између паркинг места мора бити минимум 6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m.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Latn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За управно паркирање минималне димензије паркинг места морају бити 250/500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>cm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Latn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Вертикални конструктивни елементи су армирано бетонски стубови, распоред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стубова усагласити са важећим правилницима за сабраћајну комуникацију</w:t>
      </w:r>
      <w:r>
        <w:rPr>
          <w:rFonts w:hint="default" w:ascii="Times New Roman" w:hAnsi="Times New Roman" w:eastAsia="CIDFont+F3" w:cs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унутар јавних гаража.</w:t>
      </w: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Објекат третирати као отворени, где фасада мора бити полуотворена, проветрена, у складу са светским стандардима. Сагледати могућност поствљања зеленог појаса (жардињера на етажама, зелених зидова) на фасадама објекта.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У приземљу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објекта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пројектовати:</w:t>
      </w:r>
    </w:p>
    <w:p>
      <w:pPr>
        <w:spacing w:beforeLines="0" w:afterLines="0"/>
        <w:jc w:val="both"/>
        <w:rPr>
          <w:rFonts w:hint="default" w:ascii="Times New Roman" w:hAnsi="Times New Roman" w:eastAsia="CIDFont+F4" w:cs="Times New Roman"/>
          <w:sz w:val="24"/>
          <w:szCs w:val="24"/>
        </w:rPr>
      </w:pPr>
      <w:r>
        <w:rPr>
          <w:rFonts w:hint="default" w:ascii="Times New Roman" w:hAnsi="Times New Roman" w:eastAsia="CIDFont+F4" w:cs="Times New Roman"/>
          <w:sz w:val="24"/>
          <w:szCs w:val="24"/>
        </w:rPr>
        <w:t></w:t>
      </w: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Јавни тоалет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са </w:t>
      </w:r>
      <w:r>
        <w:rPr>
          <w:rFonts w:hint="default" w:ascii="Times New Roman" w:hAnsi="Times New Roman" w:eastAsia="CIDFont+F3" w:cs="Times New Roman"/>
          <w:sz w:val="24"/>
          <w:szCs w:val="24"/>
        </w:rPr>
        <w:t>таолет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има </w:t>
      </w:r>
      <w:r>
        <w:rPr>
          <w:rFonts w:hint="default" w:ascii="Times New Roman" w:hAnsi="Times New Roman" w:eastAsia="CIDFont+F3" w:cs="Times New Roman"/>
          <w:sz w:val="24"/>
          <w:szCs w:val="24"/>
        </w:rPr>
        <w:t>за мушкарце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жене,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толает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пројектован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по стандардима за лица са инвалидитетом и кабина за пресвлачење беба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.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Просторију за одржавање хигије</w:t>
      </w:r>
      <w:r>
        <w:rPr>
          <w:rFonts w:hint="default" w:eastAsia="CIDFont+F3" w:cs="Times New Roman"/>
          <w:sz w:val="24"/>
          <w:szCs w:val="24"/>
          <w:lang w:val="sr-Cyrl-RS"/>
        </w:rPr>
        <w:t>не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Пословни простор за потребе ЈКП „Паркинг сервис“ Чачак (канцеларије,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таолет, кухиња и помоћне просторије) површине 300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Latn-RS"/>
        </w:rPr>
        <w:t>m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vertAlign w:val="superscript"/>
        </w:rPr>
        <w:t>2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± 10%;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П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Latn-RS"/>
        </w:rPr>
        <w:t>ословни простор за потребе Града површине 80m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vertAlign w:val="superscript"/>
        </w:rPr>
        <w:t>2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4" w:cs="Times New Roman"/>
          <w:sz w:val="24"/>
          <w:szCs w:val="24"/>
          <w:highlight w:val="none"/>
        </w:rPr>
        <w:t xml:space="preserve"> </w:t>
      </w: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Просторију за наплату паркинга</w:t>
      </w:r>
    </w:p>
    <w:p>
      <w:pPr>
        <w:widowControl w:val="0"/>
        <w:numPr>
          <w:ilvl w:val="0"/>
          <w:numId w:val="0"/>
        </w:numPr>
        <w:autoSpaceDE w:val="0"/>
        <w:ind w:left="57" w:left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widowControl w:val="0"/>
        <w:numPr>
          <w:ilvl w:val="0"/>
          <w:numId w:val="1"/>
        </w:numPr>
        <w:autoSpaceDE w:val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Све неопходне техничке просторије у складу са захтевима </w:t>
      </w:r>
      <w:r>
        <w:rPr>
          <w:rFonts w:hint="default" w:eastAsia="CIDFont+F3" w:cs="Times New Roman"/>
          <w:sz w:val="24"/>
          <w:szCs w:val="24"/>
          <w:lang w:val="sr-Cyrl-RS"/>
        </w:rPr>
        <w:t>намена у објекту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Приликом израде пројекта јавне гараже пројектовати соларну електану снаге до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160k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Latn-RS"/>
        </w:rPr>
        <w:t>W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(соларне панеле на крову објекта) у циљу производње електричне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Latn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енергије за потребе јавне гараже. Снаг</w:t>
      </w:r>
      <w:r>
        <w:rPr>
          <w:rFonts w:hint="default" w:eastAsia="CIDFont+F3" w:cs="Times New Roman"/>
          <w:sz w:val="24"/>
          <w:szCs w:val="24"/>
          <w:highlight w:val="none"/>
          <w:lang w:val="sr-Cyrl-RS"/>
        </w:rPr>
        <w:t>у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соларне елект</w:t>
      </w:r>
      <w:r>
        <w:rPr>
          <w:rFonts w:hint="default" w:eastAsia="CIDFont+F3" w:cs="Times New Roman"/>
          <w:sz w:val="24"/>
          <w:szCs w:val="24"/>
          <w:highlight w:val="none"/>
          <w:lang w:val="sr-Cyrl-RS"/>
        </w:rPr>
        <w:t>р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ане </w:t>
      </w:r>
      <w:r>
        <w:rPr>
          <w:rFonts w:hint="default" w:eastAsia="CIDFont+F3" w:cs="Times New Roman"/>
          <w:sz w:val="24"/>
          <w:szCs w:val="24"/>
          <w:highlight w:val="none"/>
          <w:lang w:val="sr-Cyrl-RS"/>
        </w:rPr>
        <w:t xml:space="preserve">одредити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на основу прорачуна.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Сходно свему наведеном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обавеза Пројектанта је да: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Изради </w:t>
      </w:r>
      <w:r>
        <w:rPr>
          <w:rFonts w:hint="default" w:ascii="Times New Roman" w:hAnsi="Times New Roman" w:eastAsia="CIDFont+F3" w:cs="Times New Roman"/>
          <w:sz w:val="24"/>
          <w:szCs w:val="24"/>
        </w:rPr>
        <w:t>Идејно решење (ИДР) усаглашено између Понуђача и Наручиоца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за потребе Урбанистичк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ог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пројекта, у оквиру ове активности потребно је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израдити: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- Тродимензионалне приказе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предметног објекта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-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8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прилога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(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5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спољн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их приказа и 3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приказа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унутрашњег простора)</w:t>
      </w: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eastAsia="CIDFont+F3" w:cs="Times New Roman"/>
          <w:sz w:val="24"/>
          <w:szCs w:val="24"/>
        </w:rPr>
        <w:t>Тродимензионалну видео анимацију објеката у HD резолуцији у трајању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од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30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секунди.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Изради </w:t>
      </w:r>
      <w:r>
        <w:rPr>
          <w:rFonts w:hint="default" w:ascii="Times New Roman" w:hAnsi="Times New Roman" w:eastAsia="CIDFont+F3" w:cs="Times New Roman"/>
          <w:sz w:val="24"/>
          <w:szCs w:val="24"/>
        </w:rPr>
        <w:t>Урбанистички пројекат (УП) на основу усвојеног идејног решења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(ИДР)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Учествује у раду Комисије за планове Града Чачка, у циљу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представљања приказа планиране концепције објекта и урбанистичко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-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архитектонске разраде локације. У случају да Наручилац на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документацију добије примедбе Комисије за планове Града Чачка,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Пројектант је дужан да поступи по примедбама и отклони недостатке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пројектне документације, без права да за то тражи додатну надокнаду.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Изради И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дејно решење (ИДР) за потребе подношења захтева за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Локацијске услове, подн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с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 xml:space="preserve"> захтев и води поступак за добијање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Локацијских услова у оквиру Обједињене процедуре, у име и за рачун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Наручиоца.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Изради елаборат о геотехничким условима изградње.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Изради захтев за одлучивање о потреби процене утицаја на живитну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средину и студију о процени утицаја на животну средину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 уколико је потребна</w:t>
      </w:r>
      <w:r>
        <w:rPr>
          <w:rFonts w:hint="default" w:ascii="Times New Roman" w:hAnsi="Times New Roman" w:eastAsia="CIDFont+F3" w:cs="Times New Roman"/>
          <w:sz w:val="24"/>
          <w:szCs w:val="24"/>
        </w:rPr>
        <w:t>, подноси захтеве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надлежним органима, огласе и др.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Изради Пројекат за грађевинску дозволу (ПГД) на основу добијених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локацијских услова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подн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е</w:t>
      </w:r>
      <w:r>
        <w:rPr>
          <w:rFonts w:hint="default" w:ascii="Times New Roman" w:hAnsi="Times New Roman" w:eastAsia="CIDFont+F3" w:cs="Times New Roman"/>
          <w:sz w:val="24"/>
          <w:szCs w:val="24"/>
        </w:rPr>
        <w:t>с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е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захтев и води поступак за добијање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Решења о грађевинској дозволи </w:t>
      </w:r>
      <w:r>
        <w:rPr>
          <w:rFonts w:hint="default" w:ascii="Times New Roman" w:hAnsi="Times New Roman" w:eastAsia="CIDFont+F3" w:cs="Times New Roman"/>
          <w:sz w:val="24"/>
          <w:szCs w:val="24"/>
        </w:rPr>
        <w:t>у оквиру Обједињене процедуре, у име и за рачун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Наручиоца.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Сарађује са вршиоцем техничке контроле пројекта за грађевинску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дозволу (ПГД), даје одговоре и поступи по евентуалним примедбама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техничке контроле.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Изради Пројекат за извођење радова (ПЗИ);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Поднесе захтев и води поступак за прибављање сагласности МУП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-а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оквиру Обједињене процедуре, у име и за рачун Наручиоца.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На захтев представника Наручиоца Пројекта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н</w:t>
      </w:r>
      <w:r>
        <w:rPr>
          <w:rFonts w:hint="default" w:ascii="Times New Roman" w:hAnsi="Times New Roman" w:eastAsia="CIDFont+F3" w:cs="Times New Roman"/>
          <w:sz w:val="24"/>
          <w:szCs w:val="24"/>
        </w:rPr>
        <w:t>т је дужан да пружи сва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потребна обавештења у погледу стања израде документације, обезбеди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увид у рад на документацији и упознавање са парцијалним резултатима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Наручиоцу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д</w:t>
      </w:r>
      <w:r>
        <w:rPr>
          <w:rFonts w:hint="default" w:ascii="Times New Roman" w:hAnsi="Times New Roman" w:eastAsia="CIDFont+F3" w:cs="Times New Roman"/>
          <w:sz w:val="24"/>
          <w:szCs w:val="24"/>
        </w:rPr>
        <w:t>остави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ти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4 примерка ПЗИ-а у папирном облику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,</w:t>
      </w:r>
      <w:r>
        <w:rPr>
          <w:rFonts w:hint="default" w:ascii="Times New Roman" w:hAnsi="Times New Roman" w:eastAsia="CIDFont+F4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6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примерка у електронском облику на преносивом диску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. Д</w:t>
      </w:r>
      <w:r>
        <w:rPr>
          <w:rFonts w:hint="default" w:ascii="Times New Roman" w:hAnsi="Times New Roman" w:eastAsia="CIDFont+F3" w:cs="Times New Roman"/>
          <w:sz w:val="24"/>
          <w:szCs w:val="24"/>
        </w:rPr>
        <w:t>окументација у електронском формату потребно је доставити у: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Отвореном облику и то у следећем формату (текст – docx, нумеричку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документацију – xls, графичку документацију – dwg, IFC),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затвореном облику у  PDF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</w:rPr>
        <w:t>формату.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numPr>
          <w:ilvl w:val="0"/>
          <w:numId w:val="2"/>
        </w:numPr>
        <w:spacing w:beforeLines="0" w:afterLines="0"/>
        <w:ind w:left="425" w:leftChars="0" w:hanging="425" w:firstLineChars="0"/>
        <w:jc w:val="both"/>
        <w:rPr>
          <w:rFonts w:hint="default" w:ascii="Times New Roman" w:hAnsi="Times New Roman" w:eastAsia="CIDFont+F3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Учествује у раду комисје за јавну набавку извођења радова изградње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јавне гараже у циљу потребних усмерења и к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>о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ординација припремања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  <w:lang w:val="sr-Cyrl-RS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highlight w:val="none"/>
        </w:rPr>
        <w:t>пројектног задатка, достављања техничких решења и др.</w:t>
      </w:r>
    </w:p>
    <w:p>
      <w:pPr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</w:rPr>
        <w:t>Напомена: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Обавезе </w:t>
      </w:r>
      <w:r>
        <w:rPr>
          <w:rFonts w:hint="default" w:ascii="Times New Roman" w:hAnsi="Times New Roman" w:eastAsia="CIDFont+F3" w:cs="Times New Roman"/>
          <w:sz w:val="24"/>
          <w:szCs w:val="24"/>
        </w:rPr>
        <w:t>Наручи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оца: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-  израда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КТП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-а за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катастарск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у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парцел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у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број 1017/8 К.О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.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Чачак и </w:t>
      </w:r>
    </w:p>
    <w:p>
      <w:pPr>
        <w:spacing w:beforeLines="0" w:afterLines="0"/>
        <w:jc w:val="both"/>
        <w:rPr>
          <w:rFonts w:hint="default" w:ascii="Times New Roman" w:hAnsi="Times New Roman" w:eastAsia="CIDFont+F3" w:cs="Times New Roman"/>
          <w:sz w:val="24"/>
          <w:szCs w:val="24"/>
          <w:lang w:val="sr-Cyrl-RS"/>
        </w:rPr>
      </w:pP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- </w:t>
      </w:r>
      <w:r>
        <w:rPr>
          <w:rFonts w:hint="default" w:ascii="Times New Roman" w:hAnsi="Times New Roman" w:eastAsia="CIDFont+F3" w:cs="Times New Roman"/>
          <w:sz w:val="24"/>
          <w:szCs w:val="24"/>
        </w:rPr>
        <w:t>плаћа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 xml:space="preserve">ње свих </w:t>
      </w:r>
      <w:r>
        <w:rPr>
          <w:rFonts w:hint="default" w:ascii="Times New Roman" w:hAnsi="Times New Roman" w:eastAsia="CIDFont+F3" w:cs="Times New Roman"/>
          <w:sz w:val="24"/>
          <w:szCs w:val="24"/>
        </w:rPr>
        <w:t>такс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и</w:t>
      </w:r>
      <w:r>
        <w:rPr>
          <w:rFonts w:hint="default" w:ascii="Times New Roman" w:hAnsi="Times New Roman" w:eastAsia="CIDFont+F3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CIDFont+F3" w:cs="Times New Roman"/>
          <w:sz w:val="24"/>
          <w:szCs w:val="24"/>
          <w:lang w:val="sr-Cyrl-RS"/>
        </w:rPr>
        <w:t>у току поступка Обједињене процедуре и осталих такси захтеваних од стране Јавних предузећа</w:t>
      </w:r>
      <w:r>
        <w:rPr>
          <w:rFonts w:hint="default" w:eastAsia="CIDFont+F3" w:cs="Times New Roman"/>
          <w:sz w:val="24"/>
          <w:szCs w:val="24"/>
          <w:lang w:val="sr-Cyrl-RS"/>
        </w:rPr>
        <w:t>.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+F2">
    <w:altName w:val="AMGD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IDFont+F3">
    <w:altName w:val="AMGD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IDFont+F4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20E03"/>
    <w:multiLevelType w:val="singleLevel"/>
    <w:tmpl w:val="D4520E0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0000017"/>
    <w:multiLevelType w:val="singleLevel"/>
    <w:tmpl w:val="00000017"/>
    <w:lvl w:ilvl="0" w:tentative="0">
      <w:start w:val="1"/>
      <w:numFmt w:val="bullet"/>
      <w:lvlText w:val="o"/>
      <w:lvlJc w:val="left"/>
      <w:pPr>
        <w:tabs>
          <w:tab w:val="left" w:pos="453"/>
        </w:tabs>
        <w:ind w:left="453" w:hanging="396"/>
      </w:pPr>
      <w:rPr>
        <w:rFonts w:ascii="Courier New" w:hAnsi="Courier New" w:cs="Symbol"/>
        <w:lang w:val="sr-Cyrl-C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6D42CD"/>
    <w:rsid w:val="1D7503C5"/>
    <w:rsid w:val="1D8F7C46"/>
    <w:rsid w:val="223F60CA"/>
    <w:rsid w:val="340D191E"/>
    <w:rsid w:val="40C22686"/>
    <w:rsid w:val="5D3C0E0D"/>
    <w:rsid w:val="7E2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SimSun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Office_12.2.0.13279_F1E327BC-269C-435d-A152-05C5408002CA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2023-10-24T11:11:00Z</dcterms:created>
  <dc:creator>marina.djokic</dc:creator>
  <cp:lastModifiedBy>Marijana Milosevic</cp:lastModifiedBy>
  <dcterms:modified xsi:type="dcterms:W3CDTF">2023-10-27T07:08:02Z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1033-12.2.0.13279</vt:lpwstr>
  </property>
  <property fmtid="{D5CDD505-2E9C-101B-9397-08002B2CF9AE}" pid="3" name="ICV">
    <vt:lpwstr>4AE557E2882541628FE9AFC1F8A02D16</vt:lpwstr>
  </property>
</Properties>
</file>