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9737" w14:textId="46A6E183" w:rsidR="003E5F32" w:rsidRPr="003E5F32" w:rsidRDefault="00B801F2" w:rsidP="00813A93">
      <w:pPr>
        <w:keepNext/>
        <w:shd w:val="clear" w:color="auto" w:fill="C6D9F1"/>
        <w:spacing w:before="120" w:after="240" w:line="240" w:lineRule="auto"/>
        <w:ind w:right="-36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CS" w:eastAsia="x-non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CS" w:eastAsia="x-none"/>
        </w:rPr>
        <w:t xml:space="preserve"> </w:t>
      </w:r>
      <w:r w:rsidR="00B92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OPIS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</w:t>
      </w:r>
      <w:r w:rsidR="00B92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</w:t>
      </w:r>
      <w:r w:rsidR="00B92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SPECIFIKACIJE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</w:t>
      </w:r>
      <w:r w:rsidR="00B92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PREDMETA</w:t>
      </w:r>
      <w:r w:rsidR="003E5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CS" w:eastAsia="x-none"/>
        </w:rPr>
        <w:t xml:space="preserve"> NABAVKE</w:t>
      </w:r>
    </w:p>
    <w:p w14:paraId="1987BD5F" w14:textId="77777777" w:rsidR="00AB6D85" w:rsidRPr="00AB6D85" w:rsidRDefault="00AB6D85" w:rsidP="00AB6D85"/>
    <w:p w14:paraId="4E5A49CA" w14:textId="77777777" w:rsidR="00D44B07" w:rsidRDefault="00D44B07" w:rsidP="00D44B07">
      <w:pPr>
        <w:spacing w:after="0" w:line="240" w:lineRule="auto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</w:p>
    <w:p w14:paraId="7CA2E8CE" w14:textId="3A0CDE15" w:rsidR="00D44B07" w:rsidRPr="00E75617" w:rsidRDefault="00B92862" w:rsidP="00E7561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Vrsta</w:t>
      </w:r>
      <w:r w:rsidR="00D44B07" w:rsidRPr="00E75617"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radova</w:t>
      </w:r>
    </w:p>
    <w:p w14:paraId="70B84F09" w14:textId="69BCF6D1" w:rsidR="00E75617" w:rsidRDefault="00E75617" w:rsidP="00E75617">
      <w:pPr>
        <w:pStyle w:val="ListParagraph"/>
        <w:spacing w:after="0" w:line="240" w:lineRule="auto"/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</w:pPr>
    </w:p>
    <w:p w14:paraId="11559528" w14:textId="2CA82780" w:rsidR="00E75617" w:rsidRPr="00DA7511" w:rsidRDefault="00B92862" w:rsidP="00E7561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eastAsia="sr-Cyrl-RS"/>
        </w:rPr>
      </w:pP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IZVOĐENјE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RADOVA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NA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IZGRADNјI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NOVE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UNIVERZITETSKE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DEČJE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KLINIKE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TIRŠOVA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2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U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BEOGRADU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,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u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skladu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sa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tehničkom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dokumentacijom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,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specifikacijama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i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tehničkim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zahtevima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koji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su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sastavni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deo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Konkursne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dokumentacije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.</w:t>
      </w:r>
    </w:p>
    <w:p w14:paraId="1F069BC1" w14:textId="5B91F5C8" w:rsidR="00E75617" w:rsidRDefault="00E75617" w:rsidP="00E75617">
      <w:pPr>
        <w:spacing w:after="0" w:line="240" w:lineRule="auto"/>
        <w:jc w:val="both"/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</w:pPr>
    </w:p>
    <w:p w14:paraId="4CBD762E" w14:textId="3B733224" w:rsidR="00E75617" w:rsidRDefault="00B92862" w:rsidP="00E7561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  <w:t>Tehničke</w:t>
      </w:r>
      <w:r w:rsidR="00E75617" w:rsidRPr="00E75617"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  <w:t>karakteristike</w:t>
      </w:r>
      <w:r w:rsidR="00E75617" w:rsidRPr="00E75617"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  <w:t xml:space="preserve">, </w:t>
      </w:r>
      <w:r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  <w:t>kvalitet</w:t>
      </w:r>
      <w:r w:rsidR="00E75617" w:rsidRPr="00E75617"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  <w:t xml:space="preserve">, </w:t>
      </w:r>
      <w:r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  <w:t>količina</w:t>
      </w:r>
      <w:r w:rsidR="00E75617" w:rsidRPr="00E75617"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  <w:t xml:space="preserve">, </w:t>
      </w:r>
      <w:r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  <w:t>opis</w:t>
      </w:r>
      <w:r w:rsidR="00E75617" w:rsidRPr="00E75617"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  <w:t>radova</w:t>
      </w:r>
    </w:p>
    <w:p w14:paraId="0AC07AA1" w14:textId="77777777" w:rsidR="00E75617" w:rsidRDefault="00E75617" w:rsidP="00E75617">
      <w:pPr>
        <w:pStyle w:val="ListParagraph"/>
        <w:spacing w:after="0" w:line="240" w:lineRule="auto"/>
        <w:jc w:val="both"/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</w:pPr>
    </w:p>
    <w:p w14:paraId="098EDC1E" w14:textId="53DDA569" w:rsidR="00E75617" w:rsidRDefault="00B92862" w:rsidP="00E7561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eastAsia="sr-Cyrl-RS"/>
        </w:rPr>
      </w:pP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Tehničke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karakteristike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,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kvalitet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,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količina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i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opis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radova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dati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su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u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OBRASCU</w:t>
      </w:r>
      <w:r w:rsidR="00E75617" w:rsidRPr="00DA7511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STRUKTURE</w:t>
      </w:r>
      <w:r w:rsidR="00E75617" w:rsidRPr="00DA7511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r w:rsid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PONUĐENE </w:t>
      </w:r>
      <w:r w:rsidRPr="00DA7511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CENE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,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koji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sadrži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specifikaciju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radova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,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jedinicu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mere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,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ugradnju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materijala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i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sl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.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kao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i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obim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radova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koje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je</w:t>
      </w:r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potrebno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izvesti</w:t>
      </w:r>
      <w:proofErr w:type="spellEnd"/>
      <w:r w:rsidR="00E75617" w:rsidRPr="00DA7511">
        <w:rPr>
          <w:rFonts w:ascii="Times New Roman" w:eastAsia="Calibri-Bold" w:hAnsi="Times New Roman" w:cs="Times New Roman"/>
          <w:sz w:val="24"/>
          <w:szCs w:val="24"/>
          <w:lang w:eastAsia="sr-Cyrl-RS"/>
        </w:rPr>
        <w:t>.</w:t>
      </w:r>
    </w:p>
    <w:p w14:paraId="3E137D3F" w14:textId="77777777" w:rsidR="000512B1" w:rsidRDefault="000512B1" w:rsidP="00E7561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eastAsia="sr-Cyrl-RS"/>
        </w:rPr>
      </w:pPr>
    </w:p>
    <w:p w14:paraId="22279706" w14:textId="2DF60DC9" w:rsidR="000512B1" w:rsidRPr="000512B1" w:rsidRDefault="000512B1" w:rsidP="00E75617">
      <w:pPr>
        <w:spacing w:after="0" w:line="240" w:lineRule="auto"/>
        <w:jc w:val="both"/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</w:pPr>
      <w:bookmarkStart w:id="0" w:name="_Hlk133597073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U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skladu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sa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članom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130.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stav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6.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Zakona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o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javnim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nabavkama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,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Naručilac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zahteva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da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sledeće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poslove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,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odnosno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radove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mora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direkno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izvoditi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sam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ponuđač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ili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član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grupe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ponuđača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, i to: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sve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pozicije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u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okviru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projekta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arhtekture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,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sve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pozicije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u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okviru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="00596C7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projekta</w:t>
      </w:r>
      <w:proofErr w:type="spellEnd"/>
      <w:r w:rsidR="00596C7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termotehničkih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instalacija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i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sve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pozicije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u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okviru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projekta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elektroenergetskih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instalacija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,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navedene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u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Konkursnoj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dokumentaciji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u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delu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="009F0943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Obrasca</w:t>
      </w:r>
      <w:proofErr w:type="spellEnd"/>
      <w:r w:rsidR="009F0943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="009F0943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s</w:t>
      </w:r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truktur</w:t>
      </w:r>
      <w:r w:rsidR="009F0943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e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ponuđene</w:t>
      </w:r>
      <w:proofErr w:type="spellEnd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 xml:space="preserve"> </w:t>
      </w:r>
      <w:proofErr w:type="spellStart"/>
      <w:r w:rsidRPr="00BC526F">
        <w:rPr>
          <w:rFonts w:ascii="Times New Roman" w:eastAsia="Calibri-Bold" w:hAnsi="Times New Roman" w:cs="Times New Roman"/>
          <w:b/>
          <w:bCs/>
          <w:sz w:val="24"/>
          <w:szCs w:val="24"/>
          <w:lang w:eastAsia="sr-Cyrl-RS"/>
        </w:rPr>
        <w:t>cene</w:t>
      </w:r>
      <w:bookmarkEnd w:id="0"/>
      <w:proofErr w:type="spellEnd"/>
    </w:p>
    <w:p w14:paraId="79C40AB7" w14:textId="77777777" w:rsidR="00D44B07" w:rsidRDefault="00D44B07" w:rsidP="00D44B07">
      <w:pPr>
        <w:spacing w:after="0" w:line="240" w:lineRule="auto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</w:p>
    <w:p w14:paraId="40ADEB6E" w14:textId="6973CC52" w:rsidR="00022035" w:rsidRPr="00A86D4D" w:rsidRDefault="00790274" w:rsidP="00E7561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Latn-CS" w:eastAsia="sr-Cyrl-RS"/>
        </w:rPr>
        <w:t>Kratak opis radova</w:t>
      </w:r>
      <w:r w:rsidR="00154A35" w:rsidRPr="00E75617">
        <w:rPr>
          <w:rFonts w:ascii="Times New Roman" w:eastAsia="Calibri-Bold" w:hAnsi="Times New Roman" w:cs="Times New Roman"/>
          <w:b/>
          <w:sz w:val="24"/>
          <w:szCs w:val="24"/>
          <w:lang w:val="sr-Latn-CS" w:eastAsia="sr-Cyrl-RS"/>
        </w:rPr>
        <w:t>:</w:t>
      </w:r>
    </w:p>
    <w:p w14:paraId="16ACBFE1" w14:textId="7C49E06B" w:rsidR="00A86D4D" w:rsidRDefault="00A86D4D" w:rsidP="00A86D4D">
      <w:pPr>
        <w:spacing w:after="0" w:line="240" w:lineRule="auto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</w:p>
    <w:p w14:paraId="7762A25B" w14:textId="048204FF" w:rsidR="00A61482" w:rsidRPr="00A61482" w:rsidRDefault="00A61482" w:rsidP="00A61482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ab/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UDK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Tiršova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trenutno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značajno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opterećena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svim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nedostacima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vezanim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stari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objekat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koji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pruža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adekvatne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uslove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optimalno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lečenje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negu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kao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optimalno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funkcionisanje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bolnice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skladu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savremenom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tehnologijom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.</w:t>
      </w:r>
    </w:p>
    <w:p w14:paraId="1DFB7C5D" w14:textId="0FBCA00B" w:rsidR="00A61482" w:rsidRPr="00A61482" w:rsidRDefault="00A61482" w:rsidP="00A61482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ab/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Osnovni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cilј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projekta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do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kraja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2026.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godine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izgradi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nova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moderna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Univerzitetska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dečja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klinika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opremlјena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medicinskom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infrastrukturom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visokog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nivoa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Nova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bolnica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će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moći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pruža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zdravstvene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usluge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mladim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pacijentima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Srbiji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skladu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evropskim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standardima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Pored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toga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bolnica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može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zadovolјiti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specifične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složene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pedijatrijske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potrebe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susednih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zemalјa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osnovu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bilateralnih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sporazuma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država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(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kao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što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Crna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Gora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Bosna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Hercegovina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).</w:t>
      </w:r>
    </w:p>
    <w:p w14:paraId="53DEC6A3" w14:textId="10FDE384" w:rsidR="00A61482" w:rsidRPr="00A61482" w:rsidRDefault="00A61482" w:rsidP="00A61482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ab/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Nova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bolnica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će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zameniti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postojeću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zgradu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koja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će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najverovatnije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biti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prenamenjena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kao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jedinica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palijativnu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dečju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medicinu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smeštajna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jedinica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roditelјe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pratioce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ili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kombinacija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jednog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drugog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.</w:t>
      </w:r>
    </w:p>
    <w:p w14:paraId="247746AA" w14:textId="6200125B" w:rsidR="00A61482" w:rsidRPr="00A61482" w:rsidRDefault="00A61482" w:rsidP="00A61482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ab/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Nova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bolnica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će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imati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cilј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integriše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najnoviju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medicinsku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nauku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napredak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praksi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–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sofisticiranije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dijagnostičko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snimanje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minimalno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invazivne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tehnologije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dijagnostiku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lečenje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sigurnije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preciznije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hirurške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tehnologije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robotsku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hirurgiju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sofisticiranije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praćenje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pacijenata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nova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polјa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terapijske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dijagnoze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lečenja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kao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što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genetska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.</w:t>
      </w:r>
    </w:p>
    <w:p w14:paraId="0EDEAD5F" w14:textId="7458994D" w:rsidR="00A61482" w:rsidRPr="00A61482" w:rsidRDefault="00A61482" w:rsidP="00A61482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ab/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Nova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UDK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Tiršova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biće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izgrađena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lokaciji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neposrednoj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blizini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sadašnjeg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Univerzitetskog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kliničkog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centra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Srbije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kojem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nalaze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razne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klinike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Biće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blizini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Klinike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ginekologiju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akušerstvo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porodilištem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500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metara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od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sadašnje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UDK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Tiršova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Organizacija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struktura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zgrade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projektovana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skladu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najbolјom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međunarodnom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praksom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uspostavlјenom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kroz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intenzivan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dijalog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između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korisnika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(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medicinskog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osoblјa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menadžmenta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UDK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Tiršova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)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međunarodnih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stručnjaka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angažovanih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fazama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-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izvodlјivosti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studije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izvodlјivosti</w:t>
      </w:r>
      <w:r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.</w:t>
      </w:r>
    </w:p>
    <w:p w14:paraId="0FADBF2D" w14:textId="6FA855B1" w:rsidR="00A61482" w:rsidRPr="00A61482" w:rsidRDefault="00C729C7" w:rsidP="00A61482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ab/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Krajnji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korisnici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nove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zgrade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bolnice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biće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isto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medicinsko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osoblјe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koje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sada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zauzima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sadašnji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CS" w:eastAsia="sr-Cyrl-RS"/>
        </w:rPr>
        <w:t>DK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Tiršova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ista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populacija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pacijenata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Važno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je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napomenuti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je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zdravstveno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osiguranje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Srbiji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dostupno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svima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podjednako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kvalitetno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bez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obzira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socijalnu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kategoriju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.</w:t>
      </w:r>
    </w:p>
    <w:p w14:paraId="15D6CFA4" w14:textId="76797B7A" w:rsidR="00154A35" w:rsidRPr="008F2A51" w:rsidRDefault="002E412D" w:rsidP="00A61482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lastRenderedPageBreak/>
        <w:tab/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Prednosti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novog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prostora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biće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očigledne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sve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pacijente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ali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će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glavno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povećanje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kvaliteta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usluge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biti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ugrožene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grupe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koje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pripadaju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socijalnoj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kategoriji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niskim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primanjima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Trenutno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UDK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Tiršova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pruža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nikakvu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podršku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roditelјima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pratnji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(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nema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kreveta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roditelјe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),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čija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deca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moraju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ostanu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bolnici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To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stvara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ogromne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probleme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građanima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niskim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primanjima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koji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dolaze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iz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udalјenih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gradova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ili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ruralnih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sredina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koji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nisu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mogućnosti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sebi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obezbede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smeštaj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Nova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zgrada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će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imati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kapacitet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obezbedi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odgovarajući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porodični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ambijent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u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dvokrevetnim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sobama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što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će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imati</w:t>
      </w:r>
      <w:r w:rsidR="00A61482" w:rsidRPr="00A6148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terapeutski</w:t>
      </w:r>
      <w:r w:rsidR="00A61482" w:rsidRPr="008F2A51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efekat</w:t>
      </w:r>
      <w:r w:rsidR="00A61482" w:rsidRPr="008F2A51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na</w:t>
      </w:r>
      <w:r w:rsidR="00A61482" w:rsidRPr="008F2A51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pacijente</w:t>
      </w:r>
      <w:r w:rsidR="00A61482" w:rsidRPr="008F2A51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.</w:t>
      </w:r>
    </w:p>
    <w:p w14:paraId="2E6E3373" w14:textId="1C17CA9C" w:rsidR="00154A35" w:rsidRPr="008F2A51" w:rsidRDefault="002E412D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Izgradnja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objekta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nove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Univerzitetsk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e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dečj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e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klinik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,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T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iršova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2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Beogradu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,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planirana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parcelama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.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. 1660/3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1660/4,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Savski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Venac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. 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Trenutno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kolski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pristup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parcelama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moguć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preko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ulice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Deligradske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prolazi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jugoistočno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od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parcele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završava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slepo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uz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samu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parcelu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Ulica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odatle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nastavlјa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kao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pešačka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staza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dalјe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nadovezuje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pešačku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pasarelu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prelazi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preko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autoputa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70.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Planira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interna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saobraćajnica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od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budućeg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kružnog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toka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kod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„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Gradskog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zavoda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za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hitnu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medicinsku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pomoć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“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do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Deligradske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ulice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će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koristiti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isklјučivo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funkciji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„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Univerzitetske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dečje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klinike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Tiršova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2“. </w:t>
      </w:r>
    </w:p>
    <w:p w14:paraId="54B88025" w14:textId="33C16C3C" w:rsidR="00154A35" w:rsidRPr="008F2A51" w:rsidRDefault="002E412D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Parcela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kojoj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planirana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izgradnja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predmetnog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objekta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nagibu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Teren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pada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od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Ulice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Koste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Todorovića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prema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autoputu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pravcu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severoistok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-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jugozapad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Visinska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razlika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između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saobraćajnice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Dr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Koste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Todorovića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pristupne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saobraćajnice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jugozapadne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strane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objekta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planiran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kolski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pristup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garažu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nivou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-1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oko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13</w:t>
      </w:r>
      <w:r w:rsidR="00C729C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m,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pristupna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saobraćajnica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okviru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parcele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1660/3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nastavlјa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da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pada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sve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do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priklјučenja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kružni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tok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gde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niža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za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15m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odnosu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kotu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zoni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kolskog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pristupa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garažama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.</w:t>
      </w:r>
    </w:p>
    <w:p w14:paraId="4518DC37" w14:textId="662AC126" w:rsidR="00154A35" w:rsidRDefault="002E412D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parceli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izvedeni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pripremni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radovi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uređenju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gradilišta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koji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uklјučuj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: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organizaciju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gradilišta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izgradnju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gradilišne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saobraćajnice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radove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izradi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potpornih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konstrukcija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obezbeđenju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temelјne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jame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.</w:t>
      </w:r>
    </w:p>
    <w:p w14:paraId="1140B6F5" w14:textId="7D70E206" w:rsidR="00596097" w:rsidRPr="007A4C83" w:rsidRDefault="00596097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</w:pP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ab/>
        <w:t>Ovom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nabavkom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radova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planirana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je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izgradnja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celog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bolničkog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kompleksa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,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dok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će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se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naknadno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izvršiti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opremanje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bolnice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medicinskom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opremom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funkcionalnom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opremom</w:t>
      </w:r>
      <w:r w:rsidRPr="00596097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(</w:t>
      </w:r>
      <w:r w:rsidRPr="007A4C83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nameštajem), kako bi objekat bio pušten u funkciju.</w:t>
      </w:r>
    </w:p>
    <w:p w14:paraId="65C4FC79" w14:textId="3D3EB96F" w:rsidR="00154A35" w:rsidRPr="00D50524" w:rsidRDefault="00C45F97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en-GB" w:eastAsia="sr-Cyrl-RS"/>
        </w:rPr>
      </w:pPr>
      <w:r w:rsidRPr="007A4C83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 w:rsidRPr="007A4C83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Ukupna</w:t>
      </w:r>
      <w:r w:rsidR="00154A35" w:rsidRPr="007A4C83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 w:rsidRPr="007A4C83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površina</w:t>
      </w:r>
      <w:r w:rsidR="00154A35" w:rsidRPr="007A4C83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proofErr w:type="spellStart"/>
      <w:r w:rsidR="008E33D8" w:rsidRPr="007A4C83">
        <w:rPr>
          <w:rFonts w:ascii="Times New Roman" w:eastAsia="Calibri-Bold" w:hAnsi="Times New Roman" w:cs="Times New Roman"/>
          <w:sz w:val="24"/>
          <w:szCs w:val="24"/>
          <w:lang w:val="en-GB" w:eastAsia="sr-Cyrl-RS"/>
        </w:rPr>
        <w:t>zemljišne</w:t>
      </w:r>
      <w:proofErr w:type="spellEnd"/>
      <w:r w:rsidR="008E33D8" w:rsidRPr="007A4C83">
        <w:rPr>
          <w:rFonts w:ascii="Times New Roman" w:eastAsia="Calibri-Bold" w:hAnsi="Times New Roman" w:cs="Times New Roman"/>
          <w:sz w:val="24"/>
          <w:szCs w:val="24"/>
          <w:lang w:val="en-GB" w:eastAsia="sr-Cyrl-RS"/>
        </w:rPr>
        <w:t xml:space="preserve"> </w:t>
      </w:r>
      <w:proofErr w:type="spellStart"/>
      <w:r w:rsidR="008E33D8" w:rsidRPr="007A4C83">
        <w:rPr>
          <w:rFonts w:ascii="Times New Roman" w:eastAsia="Calibri-Bold" w:hAnsi="Times New Roman" w:cs="Times New Roman"/>
          <w:sz w:val="24"/>
          <w:szCs w:val="24"/>
          <w:lang w:val="en-GB" w:eastAsia="sr-Cyrl-RS"/>
        </w:rPr>
        <w:t>parcele</w:t>
      </w:r>
      <w:proofErr w:type="spellEnd"/>
      <w:r w:rsidR="00154A35" w:rsidRPr="007A4C83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 w:rsidRPr="007A4C83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iznosi</w:t>
      </w:r>
      <w:r w:rsidR="00154A35" w:rsidRPr="007A4C83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33</w:t>
      </w:r>
      <w:r w:rsidR="008E33D8" w:rsidRPr="007A4C83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,</w:t>
      </w:r>
      <w:r w:rsidR="00154A35" w:rsidRPr="007A4C83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670 m²</w:t>
      </w:r>
      <w:r w:rsidR="00C46E72" w:rsidRPr="007A4C83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.</w:t>
      </w:r>
    </w:p>
    <w:p w14:paraId="7BAECCA1" w14:textId="5247A29E" w:rsidR="007A4C83" w:rsidRPr="00515EE5" w:rsidRDefault="00C45F97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ab/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Objekat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je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osnovi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pravougaonog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oblika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.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Pored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glavnog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objekta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,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parceli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se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nalaze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i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podstanica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za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medicinske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gasove</w:t>
      </w:r>
      <w:r w:rsidR="007A4C83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na parceli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.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Bruto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površina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objekta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nov</w:t>
      </w:r>
      <w:r w:rsidR="007A4C83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e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D67DD6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UDK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je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61</w:t>
      </w:r>
      <w:r w:rsidR="00515EE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,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923</w:t>
      </w:r>
      <w:r w:rsidR="00515EE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.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9</w:t>
      </w:r>
      <w:r w:rsidR="007A4C83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8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m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²,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a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površina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projekcije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515EE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U</w:t>
      </w:r>
      <w:r w:rsidR="00D67DD6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D</w:t>
      </w:r>
      <w:r w:rsidR="00515EE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K je 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7</w:t>
      </w:r>
      <w:r w:rsidR="00515EE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,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061</w:t>
      </w:r>
      <w:r w:rsidR="00515EE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.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96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m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². </w:t>
      </w:r>
    </w:p>
    <w:p w14:paraId="5116ADA2" w14:textId="48AEA269" w:rsidR="00154A35" w:rsidRPr="008F2A51" w:rsidRDefault="00515EE5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</w:pPr>
      <w:r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ab/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Projekcija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/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bruto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površina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objekta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medicinske gasne stanice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je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95</w:t>
      </w:r>
      <w:r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.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45 </w:t>
      </w:r>
      <w:r w:rsidR="00B92862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m</w:t>
      </w:r>
      <w:r w:rsidR="00154A35" w:rsidRPr="00515EE5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².</w:t>
      </w:r>
    </w:p>
    <w:p w14:paraId="78E1AAD4" w14:textId="001C3936" w:rsidR="00154A35" w:rsidRPr="008F2A51" w:rsidRDefault="0092044B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Spratnost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objekta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3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+2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+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+5. </w:t>
      </w:r>
    </w:p>
    <w:p w14:paraId="04637923" w14:textId="0A29C360" w:rsidR="00154A35" w:rsidRPr="008F2A51" w:rsidRDefault="0092044B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Broj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bolesničkih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postelјa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167-230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71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postelјa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okviru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dnevne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bolnice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.</w:t>
      </w:r>
    </w:p>
    <w:p w14:paraId="41E32C45" w14:textId="5DB72960" w:rsidR="00154A35" w:rsidRPr="008F2A51" w:rsidRDefault="0092044B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Broj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parking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mesta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528 (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od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čega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68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za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osobe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otežanim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kretanjem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).</w:t>
      </w:r>
    </w:p>
    <w:p w14:paraId="293121FE" w14:textId="6B255301" w:rsidR="00154A35" w:rsidRPr="008F2A51" w:rsidRDefault="0092044B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Funkcionalnim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programom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definisanim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kroz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Studiju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izvodlјivosti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izdvojeno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sedam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osnovnih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celina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unutar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objekta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:</w:t>
      </w:r>
    </w:p>
    <w:p w14:paraId="5CF1CC96" w14:textId="0F3E854B" w:rsidR="00154A35" w:rsidRPr="008F2A51" w:rsidRDefault="00154A35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1.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Pregled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lečenje</w:t>
      </w:r>
    </w:p>
    <w:p w14:paraId="434282FD" w14:textId="21A25622" w:rsidR="00154A35" w:rsidRPr="008F2A51" w:rsidRDefault="00154A35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2.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Nega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bolesnika</w:t>
      </w:r>
    </w:p>
    <w:p w14:paraId="69A7FE59" w14:textId="61DD0EA9" w:rsidR="00154A35" w:rsidRPr="008F2A51" w:rsidRDefault="00154A35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3.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Snabdevanje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odlaganje</w:t>
      </w:r>
    </w:p>
    <w:p w14:paraId="6CD57F63" w14:textId="79799B04" w:rsidR="00154A35" w:rsidRPr="008F2A51" w:rsidRDefault="00154A35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4.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Administracija</w:t>
      </w:r>
    </w:p>
    <w:p w14:paraId="5584D7C0" w14:textId="29B89928" w:rsidR="00154A35" w:rsidRPr="008F2A51" w:rsidRDefault="00154A35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5.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Naučno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istraživački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akademski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deo</w:t>
      </w:r>
    </w:p>
    <w:p w14:paraId="6455B20C" w14:textId="6AAA1811" w:rsidR="00154A35" w:rsidRPr="008F2A51" w:rsidRDefault="00154A35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6.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Tehničke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prostorije</w:t>
      </w:r>
    </w:p>
    <w:p w14:paraId="469C5345" w14:textId="75622EA2" w:rsidR="00154A35" w:rsidRPr="00194283" w:rsidRDefault="00154A35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7.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194283" w:rsidRPr="00B3077D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S</w:t>
      </w:r>
      <w:r w:rsidR="00B92862" w:rsidRPr="00B3077D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ocijaln</w:t>
      </w:r>
      <w:r w:rsidR="00194283" w:rsidRPr="00B3077D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a</w:t>
      </w:r>
      <w:r w:rsidRPr="00B3077D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 w:rsidRPr="00B3077D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zaštit</w:t>
      </w:r>
      <w:r w:rsidR="00194283" w:rsidRPr="00B3077D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a</w:t>
      </w:r>
      <w:r w:rsidR="00173EE8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.</w:t>
      </w:r>
    </w:p>
    <w:p w14:paraId="21DE8B35" w14:textId="77777777" w:rsidR="00154A35" w:rsidRPr="008F2A51" w:rsidRDefault="00154A35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</w:p>
    <w:p w14:paraId="718F332A" w14:textId="2A60C774" w:rsidR="00154A35" w:rsidRPr="008F2A51" w:rsidRDefault="0092044B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nivou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prizemne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etaže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smeštene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tri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osnovne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celine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(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Centralna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zona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Ambulantno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-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poliklinički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deo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Hitan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prijem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)</w:t>
      </w: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.</w:t>
      </w:r>
    </w:p>
    <w:p w14:paraId="1DAAB3F7" w14:textId="2608C63A" w:rsidR="00154A35" w:rsidRPr="008F2A51" w:rsidRDefault="0092044B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Suteren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1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medicinskom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(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tehnološkom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)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smislu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najkompleksniji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sprat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Tu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ima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najviše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ukrštanja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puteva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dnevnih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pacijenata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iz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stacionara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ovoj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etaži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nalaze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sledeće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celine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: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Radiološka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dijagnostika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Endoskopija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Centralna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laboratorija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bankom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krvi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Fizijatrija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Dnevna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hirurgija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Odelјenje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genetike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imunologije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.</w:t>
      </w:r>
    </w:p>
    <w:p w14:paraId="38C6DF2D" w14:textId="7906A0C7" w:rsidR="00154A35" w:rsidRPr="008F2A51" w:rsidRDefault="0092044B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lastRenderedPageBreak/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Stacionar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za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pacijente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predviđen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1., 2., 3.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4.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spratu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. </w:t>
      </w:r>
    </w:p>
    <w:p w14:paraId="406C9006" w14:textId="46C0244A" w:rsidR="00154A35" w:rsidRPr="008F2A51" w:rsidRDefault="0092044B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Ove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etaže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površinski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mnogo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manje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od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prizemne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suterenskih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etaža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Za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razliku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od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njih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koje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pravougaonog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oblika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stacionarne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etaže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zatvaraju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prostor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obliku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latiničnog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slova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H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Ovime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postignuta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veća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površina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fasade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mogućnost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formiranja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većeg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broja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prostorija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prirodnim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osvetlјenjem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stacionaru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formiraju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četiri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krila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koja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mogu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da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funkcionišu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kao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nezavisne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celine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.</w:t>
      </w:r>
    </w:p>
    <w:p w14:paraId="1FDE0562" w14:textId="4338C6E6" w:rsidR="00154A35" w:rsidRPr="008F2A51" w:rsidRDefault="0092044B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Stacionar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opšte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(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osnovne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)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nege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pratećim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prostorima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predviđen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dve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trećine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1.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Sprata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 (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tri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krila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 –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jugozapadno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jugoistočno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severoistočno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);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polovini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2.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sprata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(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dva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krila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–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jugozapadno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jugoistočno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).</w:t>
      </w:r>
    </w:p>
    <w:p w14:paraId="238133DB" w14:textId="4F50BBE4" w:rsidR="00154A35" w:rsidRPr="008F2A51" w:rsidRDefault="00C82EF4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okviru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1.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sprata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pored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stacionara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opšte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nege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severnom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krilu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smešteno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odelјenje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hemodijalize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.</w:t>
      </w:r>
    </w:p>
    <w:p w14:paraId="2EAF1554" w14:textId="4334F3D2" w:rsidR="00154A35" w:rsidRPr="008F2A51" w:rsidRDefault="00C82EF4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okviru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2.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sprata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direktno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iznad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odelјenja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hemodijalize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odelјenje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hemoterapije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.</w:t>
      </w:r>
    </w:p>
    <w:p w14:paraId="0DD1F6E9" w14:textId="24D7DC86" w:rsidR="00154A35" w:rsidRPr="008F2A51" w:rsidRDefault="001604B1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>Treći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sprat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podelјen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četiri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celine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–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odelјenje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transplatacije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severozapadnom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krilu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odelјenje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opekotina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severoistočnom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krilu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deo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stacionara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opšte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nege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između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ova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dva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krila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odelјenje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neonatologije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(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koje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takođe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pripada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nivou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opšte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nege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)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koje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zauzima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jugozapadno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jugoistočno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krilo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(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čitavu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polovinu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trećeg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sprata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).</w:t>
      </w:r>
    </w:p>
    <w:p w14:paraId="4AF9EF62" w14:textId="6D341C01" w:rsidR="00154A35" w:rsidRPr="008F2A51" w:rsidRDefault="00C82EF4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okviru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4.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sprata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je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OP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blok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intenzivna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nega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.</w:t>
      </w:r>
    </w:p>
    <w:p w14:paraId="716158EB" w14:textId="3ECE779A" w:rsidR="00154A35" w:rsidRDefault="00C82EF4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okviru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5.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sprata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su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administracija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i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edukacija</w:t>
      </w:r>
      <w:r w:rsidR="00154A35" w:rsidRPr="008F2A51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.</w:t>
      </w:r>
    </w:p>
    <w:p w14:paraId="0A3E465D" w14:textId="121E1888" w:rsidR="003176EE" w:rsidRDefault="003176EE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</w:p>
    <w:p w14:paraId="279FDC78" w14:textId="3AD9B0E0" w:rsidR="003176EE" w:rsidRDefault="003176EE" w:rsidP="00154A35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</w:p>
    <w:p w14:paraId="4C634D94" w14:textId="115B3A54" w:rsidR="003176EE" w:rsidRDefault="009B342E" w:rsidP="003176E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b/>
          <w:bCs/>
          <w:sz w:val="24"/>
          <w:szCs w:val="24"/>
          <w:lang w:val="sr-Latn-CS" w:eastAsia="sr-Cyrl-RS"/>
        </w:rPr>
        <w:t>BIM</w:t>
      </w:r>
      <w:r w:rsidR="003176EE" w:rsidRPr="003176EE"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  <w:t>model</w:t>
      </w:r>
    </w:p>
    <w:p w14:paraId="4BE3BFCF" w14:textId="7B423346" w:rsidR="00F21757" w:rsidRDefault="00F21757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b/>
          <w:bCs/>
          <w:sz w:val="24"/>
          <w:szCs w:val="24"/>
          <w:lang w:val="sr-Cyrl-CS" w:eastAsia="sr-Cyrl-RS"/>
        </w:rPr>
      </w:pPr>
    </w:p>
    <w:p w14:paraId="5C4C4931" w14:textId="4CFA7BC2" w:rsidR="00F21757" w:rsidRPr="00F21757" w:rsidRDefault="00F21757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Pr="00F21757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Tokom faze projektovanja, razvijena je priprema 3D Building Information Modela (BIM) kompletnog projekta za izvođenje koji uklјučuje obe funkcionalne oblasti FC1 i FC2.</w:t>
      </w:r>
    </w:p>
    <w:p w14:paraId="35629706" w14:textId="406AA9A1" w:rsidR="00F21757" w:rsidRPr="00F21757" w:rsidRDefault="00F21757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Pr="00F21757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BIM model grafički predstavlјa elemente zgrade kao generički sistem, objekat ili sklop dajući tačne informacije u smislu relevantnih količina.</w:t>
      </w:r>
    </w:p>
    <w:p w14:paraId="52201226" w14:textId="5B2B4D96" w:rsidR="00F21757" w:rsidRPr="00F21757" w:rsidRDefault="00F21757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Pr="00F21757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Osnova BIM okruženja je 3D -digitalni model koji kombinuje podatke u grafičkom i negrafičkom obliku i omogućava lak pristup, jednostavno upravlјanje i razmenu podataka između svih učesnika u strana projektu.</w:t>
      </w:r>
    </w:p>
    <w:p w14:paraId="495ADCD6" w14:textId="387B624E" w:rsidR="00F21757" w:rsidRPr="00F21757" w:rsidRDefault="00F21757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Pr="00F21757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BIM je korišćen za projektovanje, razvoj i analizu svih disciplina uklјučujući arhitektonsko-građevinske radove, mašinske, elektro i instalacije vodovoda i kanalizacije kao i  protivpožarne sisteme u skladu sa BIM Implementation Planom (BEP).</w:t>
      </w:r>
    </w:p>
    <w:p w14:paraId="3DD6D316" w14:textId="274C62EA" w:rsidR="00F21757" w:rsidRPr="00F21757" w:rsidRDefault="00F21757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Pr="00F21757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BIM tehnologija je korišćena za izradu projektne dokumentacije, pregled funkcionalnosti i dizajna objekta, kontrolu kvaliteta projektne dokumentacije i kvaliteta samog projekta, koordinaciju između</w:t>
      </w:r>
    </w:p>
    <w:p w14:paraId="6957006C" w14:textId="25FE60A9" w:rsidR="00F21757" w:rsidRPr="00F21757" w:rsidRDefault="00F21757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F21757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različitih struka.</w:t>
      </w:r>
    </w:p>
    <w:p w14:paraId="5E977DB8" w14:textId="5F9B3DC0" w:rsidR="00F21757" w:rsidRPr="00F21757" w:rsidRDefault="00F21757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Pr="00F21757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U fazi izgradnje koristiće se za napredno detalјno planiranje i praćenje vremenskog plana izgradnje, efikasniju analizu i procenu količina i budžeta.</w:t>
      </w:r>
    </w:p>
    <w:p w14:paraId="0489563C" w14:textId="58324A3B" w:rsidR="00F21757" w:rsidRPr="00F21757" w:rsidRDefault="00F21757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Pr="00F21757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BIM elementi u modelu sadrže parametre relevantne klase Industry Foundation Classes (IFC) i povezane potrebne informacije i podatke u skladu sa otvorenim BIM pristupom za razmenu informacija kroz izvoz u IFC. Ovi podaci omogućavaju analitički proces, uklјučujući proveru količina, cena, materijala, tačno pozicioniranje objekta i sve druge informacije o projektu. BIM model je razvijen tako da se iz njega izvode crteži za paket dokumentacije IFC, kao i da podržava sve BIM aplikacije koje zahteva klijent.</w:t>
      </w:r>
    </w:p>
    <w:p w14:paraId="4AA20A4E" w14:textId="1C56A4A9" w:rsidR="00F21757" w:rsidRPr="00F21757" w:rsidRDefault="00F21757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ab/>
      </w:r>
      <w:r w:rsidRPr="00F21757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Sledeća lista prikazuje BIM aktivnosti koje su do sada urađene:</w:t>
      </w:r>
    </w:p>
    <w:p w14:paraId="495D3D47" w14:textId="42F79819" w:rsidR="00F21757" w:rsidRPr="00F21757" w:rsidRDefault="00F21757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F21757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-Projektovanje korišćenjem BIM;</w:t>
      </w:r>
    </w:p>
    <w:p w14:paraId="60FDF798" w14:textId="2F92D378" w:rsidR="00F21757" w:rsidRPr="00F21757" w:rsidRDefault="00F21757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F21757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-Izrada i izvoz 2D projektne dokumentacije;</w:t>
      </w:r>
    </w:p>
    <w:p w14:paraId="319FB200" w14:textId="2EC77B03" w:rsidR="00F21757" w:rsidRPr="00F21757" w:rsidRDefault="00F21757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F21757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-Vizuelizacija projekta;</w:t>
      </w:r>
    </w:p>
    <w:p w14:paraId="006AB156" w14:textId="35C6E274" w:rsidR="00F21757" w:rsidRPr="00F21757" w:rsidRDefault="00F21757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F21757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-Preuzimanje količina (uklјučujući sistematsko kodiranje elemenata/stavki; van projekta za izvođenje);</w:t>
      </w:r>
    </w:p>
    <w:p w14:paraId="65A8ACD8" w14:textId="29EA571B" w:rsidR="00F21757" w:rsidRPr="00F21757" w:rsidRDefault="00F21757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F21757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lastRenderedPageBreak/>
        <w:t>-Definisanje podataka za primenu 4D BIM modela;</w:t>
      </w:r>
    </w:p>
    <w:p w14:paraId="5B9943E5" w14:textId="12FBCE80" w:rsidR="00F21757" w:rsidRPr="00F21757" w:rsidRDefault="00F21757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</w:pPr>
      <w:r w:rsidRPr="00F21757">
        <w:rPr>
          <w:rFonts w:ascii="Times New Roman" w:eastAsia="Calibri-Bold" w:hAnsi="Times New Roman" w:cs="Times New Roman"/>
          <w:sz w:val="24"/>
          <w:szCs w:val="24"/>
          <w:lang w:val="sr-Cyrl-CS" w:eastAsia="sr-Cyrl-RS"/>
        </w:rPr>
        <w:t>-Definisanje podataka za primenu 5D BIM modela.</w:t>
      </w:r>
    </w:p>
    <w:p w14:paraId="118A52D5" w14:textId="43B1924F" w:rsidR="003176EE" w:rsidRDefault="003176EE" w:rsidP="00F21757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</w:pPr>
    </w:p>
    <w:p w14:paraId="45EE6100" w14:textId="18533944" w:rsidR="003176EE" w:rsidRDefault="00A01219" w:rsidP="003176EE">
      <w:pPr>
        <w:spacing w:after="0" w:line="240" w:lineRule="auto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</w:pPr>
      <w:proofErr w:type="spellStart"/>
      <w:r w:rsidRPr="00A01219">
        <w:rPr>
          <w:rFonts w:ascii="Times New Roman" w:eastAsia="Calibri-Bold" w:hAnsi="Times New Roman" w:cs="Times New Roman"/>
          <w:b/>
          <w:color w:val="000000"/>
          <w:sz w:val="24"/>
          <w:szCs w:val="24"/>
          <w:lang w:val="en-GB" w:eastAsia="sr-Cyrl-RS"/>
        </w:rPr>
        <w:t>Napomena</w:t>
      </w:r>
      <w:proofErr w:type="spellEnd"/>
      <w:r w:rsidRPr="00A01219">
        <w:rPr>
          <w:rFonts w:ascii="Times New Roman" w:eastAsia="Calibri-Bold" w:hAnsi="Times New Roman" w:cs="Times New Roman"/>
          <w:b/>
          <w:color w:val="000000"/>
          <w:sz w:val="24"/>
          <w:szCs w:val="24"/>
          <w:lang w:val="en-GB" w:eastAsia="sr-Cyrl-RS"/>
        </w:rPr>
        <w:t>: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 xml:space="preserve"> </w:t>
      </w:r>
      <w:proofErr w:type="spellStart"/>
      <w:r w:rsidR="00F8335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>Dokument</w:t>
      </w:r>
      <w:proofErr w:type="spellEnd"/>
      <w:r w:rsidR="00F8335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 xml:space="preserve">: </w:t>
      </w:r>
      <w:r w:rsidRPr="00A01219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 xml:space="preserve">BIM </w:t>
      </w:r>
      <w:proofErr w:type="spellStart"/>
      <w:r w:rsidRPr="00A01219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>zahtevi</w:t>
      </w:r>
      <w:proofErr w:type="spellEnd"/>
      <w:r w:rsidRPr="00A01219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 xml:space="preserve"> </w:t>
      </w:r>
      <w:proofErr w:type="spellStart"/>
      <w:r w:rsidRPr="00A01219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>Naručioca</w:t>
      </w:r>
      <w:proofErr w:type="spellEnd"/>
      <w:r w:rsidRPr="00A01219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 xml:space="preserve"> za </w:t>
      </w:r>
      <w:proofErr w:type="spellStart"/>
      <w:r w:rsidRPr="00A01219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>Izvodjača</w:t>
      </w:r>
      <w:proofErr w:type="spellEnd"/>
      <w:r w:rsidRPr="00A01219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 xml:space="preserve"> </w:t>
      </w:r>
      <w:proofErr w:type="spellStart"/>
      <w:r w:rsidRPr="00A01219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>radova-Univerzitetska</w:t>
      </w:r>
      <w:proofErr w:type="spellEnd"/>
      <w:r w:rsidRPr="00A01219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 xml:space="preserve"> </w:t>
      </w:r>
      <w:proofErr w:type="spellStart"/>
      <w:r w:rsidRPr="00A01219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>dečija</w:t>
      </w:r>
      <w:proofErr w:type="spellEnd"/>
      <w:r w:rsidRPr="00A01219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 xml:space="preserve"> </w:t>
      </w:r>
      <w:proofErr w:type="spellStart"/>
      <w:r w:rsidRPr="00A01219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>klinika</w:t>
      </w:r>
      <w:proofErr w:type="spellEnd"/>
      <w:r w:rsidRPr="00A01219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 xml:space="preserve"> </w:t>
      </w:r>
      <w:proofErr w:type="spellStart"/>
      <w:r w:rsidRPr="00A01219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>Tiršova</w:t>
      </w:r>
      <w:proofErr w:type="spellEnd"/>
      <w:r w:rsidRPr="00A01219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 xml:space="preserve">  2</w:t>
      </w:r>
      <w:r w:rsidR="00F8335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 xml:space="preserve">, </w:t>
      </w:r>
      <w:proofErr w:type="spellStart"/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>sastavni</w:t>
      </w:r>
      <w:proofErr w:type="spellEnd"/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 xml:space="preserve"> je deo </w:t>
      </w:r>
      <w:proofErr w:type="spellStart"/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>Modela</w:t>
      </w:r>
      <w:proofErr w:type="spellEnd"/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>ugovora</w:t>
      </w:r>
      <w:proofErr w:type="spellEnd"/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  <w:t>.</w:t>
      </w:r>
    </w:p>
    <w:p w14:paraId="1DD7A465" w14:textId="77777777" w:rsidR="00A01219" w:rsidRPr="00E878D2" w:rsidRDefault="00A01219" w:rsidP="003176EE">
      <w:pPr>
        <w:spacing w:after="0" w:line="240" w:lineRule="auto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en-GB" w:eastAsia="sr-Cyrl-RS"/>
        </w:rPr>
      </w:pPr>
    </w:p>
    <w:p w14:paraId="1C2B43E6" w14:textId="19E575CE" w:rsidR="003176EE" w:rsidRDefault="00B92862" w:rsidP="003176E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>Obrazac</w:t>
      </w:r>
      <w:r w:rsidR="003176EE" w:rsidRPr="003176EE"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>o</w:t>
      </w:r>
      <w:r w:rsidR="0009137D"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>Proizvođačima</w:t>
      </w:r>
      <w:r w:rsidR="003176EE" w:rsidRPr="003176EE"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>materijala</w:t>
      </w:r>
      <w:r w:rsidR="003176EE" w:rsidRPr="003176EE"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>i</w:t>
      </w:r>
      <w:r w:rsidR="003176EE" w:rsidRPr="003176EE"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>opreme</w:t>
      </w:r>
      <w:r w:rsidR="003176EE" w:rsidRPr="003176EE"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>:</w:t>
      </w:r>
    </w:p>
    <w:p w14:paraId="05981137" w14:textId="35D9135E" w:rsidR="003176EE" w:rsidRDefault="003176EE" w:rsidP="003176EE">
      <w:pPr>
        <w:spacing w:after="0" w:line="240" w:lineRule="auto"/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</w:pPr>
    </w:p>
    <w:p w14:paraId="47730CBA" w14:textId="72FF7D15" w:rsidR="0009137D" w:rsidRPr="0009137D" w:rsidRDefault="0009137D" w:rsidP="0009137D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Prilikom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podnošenja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ponude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putem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Portala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ponuđač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je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dužan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da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dostavi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popunjen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Obrazac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proizvođačima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materijala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opreme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.</w:t>
      </w:r>
    </w:p>
    <w:p w14:paraId="23BC126A" w14:textId="3C3222F5" w:rsidR="0009137D" w:rsidRPr="00DB50BA" w:rsidRDefault="0009137D" w:rsidP="0009137D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ab/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U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kolonu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4. (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Proizvođači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)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upisuje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se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naziv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proizvođača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materijala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/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opreme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za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koji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je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data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cena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u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Obrascu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strukture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ponuđene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cene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.</w:t>
      </w:r>
    </w:p>
    <w:p w14:paraId="011B33FE" w14:textId="05D03C4C" w:rsidR="0009137D" w:rsidRDefault="0009137D" w:rsidP="0009137D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</w:pP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ab/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U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kolonu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5 (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Model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)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upisuje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se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naziv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modela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/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vrste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materijala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/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opreme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za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koju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je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data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cena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u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Obrascu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strukture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ponuđene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cene</w:t>
      </w:r>
      <w:r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.</w:t>
      </w:r>
    </w:p>
    <w:p w14:paraId="20A5F36C" w14:textId="77777777" w:rsidR="00D97F97" w:rsidRPr="0009137D" w:rsidRDefault="00D97F97" w:rsidP="0009137D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</w:pPr>
    </w:p>
    <w:p w14:paraId="37C733ED" w14:textId="6E08FBBA" w:rsidR="0009137D" w:rsidRDefault="0009137D" w:rsidP="0009137D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Naručilac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zadržava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pravo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da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pre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donošenja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odluke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postupku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javne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nabavke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stručnoj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oceni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ponude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zahteva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od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ponuđača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koji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je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podneo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ekonomski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najpovolјniju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ponudu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da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razumnom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roku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dostavi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dokaze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radi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utvrđivanja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ispunjenost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zahtevanih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tehničkih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specifikacija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ponuđene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opreme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odnosno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Tehničke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listove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/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ili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sertifikate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za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svu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robu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proizvode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ili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materijale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navedene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Obrascu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proizvođačima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materijala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opreme</w:t>
      </w:r>
      <w:r w:rsidR="00BD125A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Latn-CS" w:eastAsia="sr-Cyrl-RS"/>
        </w:rPr>
        <w:t xml:space="preserve">, </w:t>
      </w:r>
      <w:proofErr w:type="spellStart"/>
      <w:r w:rsidR="00DB50BA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kao</w:t>
      </w:r>
      <w:proofErr w:type="spellEnd"/>
      <w:r w:rsidR="00DB50BA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i </w:t>
      </w:r>
      <w:proofErr w:type="spellStart"/>
      <w:r w:rsidR="00DB50BA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drugu</w:t>
      </w:r>
      <w:proofErr w:type="spellEnd"/>
      <w:r w:rsidR="00DB50BA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DB50BA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dokumentaciju</w:t>
      </w:r>
      <w:proofErr w:type="spellEnd"/>
      <w:r w:rsidR="00DB50BA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DB50BA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zahtevanu</w:t>
      </w:r>
      <w:proofErr w:type="spellEnd"/>
      <w:r w:rsidR="00DB50BA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u </w:t>
      </w:r>
      <w:proofErr w:type="spellStart"/>
      <w:r w:rsidR="00DB50BA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Obrascu</w:t>
      </w:r>
      <w:proofErr w:type="spellEnd"/>
      <w:r w:rsidR="00DB50BA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o </w:t>
      </w:r>
      <w:proofErr w:type="spellStart"/>
      <w:r w:rsidR="00DB50BA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proizvođačima</w:t>
      </w:r>
      <w:proofErr w:type="spellEnd"/>
      <w:r w:rsidR="00DB50BA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DB50BA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materijala</w:t>
      </w:r>
      <w:proofErr w:type="spellEnd"/>
      <w:r w:rsidR="00DB50BA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i </w:t>
      </w:r>
      <w:proofErr w:type="spellStart"/>
      <w:r w:rsidR="00DB50BA" w:rsidRPr="00DB50BA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opreme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Veza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do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ovog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obrasca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mora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biti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napisana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na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Tehničkom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listu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/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Sertifikatima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odnosno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serijski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broj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iz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prve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kolone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Sadržaj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Tehničkih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listova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/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Sertifikata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nesumnjivo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mora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potvrditi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date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tehničke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karakteristike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Originalnom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izjavom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proizvođača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mogu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dokazati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samo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one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zahtevane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tehničke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karakteristike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koje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nisu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navedene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Tehničkom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listu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/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Sertifikatima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.</w:t>
      </w:r>
    </w:p>
    <w:p w14:paraId="790CF6A2" w14:textId="5F247B93" w:rsidR="0009137D" w:rsidRDefault="0009137D" w:rsidP="0009137D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Obrazac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proizvođačima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materijala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opreme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je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obavezan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deo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ponude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sastavni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je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deo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ugovora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izvođenju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radova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.</w:t>
      </w:r>
    </w:p>
    <w:p w14:paraId="3D909EB7" w14:textId="694C2993" w:rsidR="0009137D" w:rsidRDefault="0009137D" w:rsidP="0009137D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</w:pP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ab/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slučaju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da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se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ustanovi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da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tehnička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specifikacija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ponuđenog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dobra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ne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odgovara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zahtevima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Naručioca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definisanim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projektom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za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izvođenje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koji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je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sastavni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deo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konkursne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dokumentacija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drugim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zahtevima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Naručioca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navedenim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konkursnoj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dokumentaciji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ponuda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Ponuđača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će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se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odbiti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kao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neprihvatlјiva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skladu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sa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članom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144.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stav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1.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tačka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3.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Zakona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o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javnim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nabavkama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(„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Sl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.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Glasnik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RS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“,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no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. 91/19).</w:t>
      </w:r>
      <w:r w:rsidRPr="0009137D">
        <w:rPr>
          <w:rFonts w:ascii="Times New Roman" w:eastAsia="Calibri-Bold" w:hAnsi="Times New Roman" w:cs="Times New Roman"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U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slučaju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nemogućnosti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pribavlјanja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ugradnje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materijala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opreme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prema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ponuđenim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modelima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proizvođačima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navedenim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u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Obra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scu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proizvođačima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materijala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opreme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ponuđač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je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dužan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da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pribavi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dokument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od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proizvođača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kojim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obrazlaže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nemogućnost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isporuke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(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prestanak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proizvodnje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slično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),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kao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predlog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za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zamenu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ekvivalentne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opreme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koju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dostavlјa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na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saglasnost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Stručnom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nadzoru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Naručiocu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.</w:t>
      </w:r>
    </w:p>
    <w:p w14:paraId="79DD6AD4" w14:textId="420E32B5" w:rsidR="0009137D" w:rsidRDefault="0009137D" w:rsidP="0009137D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</w:pP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ab/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Predmetni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materijal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oprema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koji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se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zamenjuje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odnosu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na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ponuđene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modele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proizvođače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poglavlјu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Obrazac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proizvođačima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materijala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opreme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uz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saglasnost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Stručnog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nadzora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Naručioca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mora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biti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ekvivalentan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odgovarati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tehničkim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karakteristikama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prethodno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ponuđenog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dobra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isporučen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ugrađen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ugovorenoj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ceni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.</w:t>
      </w:r>
    </w:p>
    <w:p w14:paraId="2D8AA29D" w14:textId="581BE3EA" w:rsidR="0009137D" w:rsidRDefault="0009137D" w:rsidP="0009137D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</w:pP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ab/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Kada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se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tehničkim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uslovima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pominje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ime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nekog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proizvođača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vezi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sa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nekim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proizvodom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ili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materijalom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to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je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iz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razloga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pružanja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primera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sa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stanovišta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zahtevanog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standarda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za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taj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proizvod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ili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materijal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.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Proizvođač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koji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je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na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ovaj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način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naveden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u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tehničkim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uslovima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neće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se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smatrati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nominovanim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proizvođačem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.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Ponuđač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može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da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predloži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pribavi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proizvod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ili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materijal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od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drugog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proizvođača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pod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uslovom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da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može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da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dokaže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se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radi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o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ekvivalentnom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proizvodu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i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materijalu</w:t>
      </w:r>
      <w:proofErr w:type="spellEnd"/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. </w:t>
      </w:r>
    </w:p>
    <w:p w14:paraId="26E77F5D" w14:textId="7FBB54E6" w:rsidR="0009137D" w:rsidRPr="0009137D" w:rsidRDefault="0009137D" w:rsidP="0009137D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</w:pP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ab/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Naručilac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obaveštava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ponuđača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da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je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,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svako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navođenje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elemenata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poput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robnog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znaka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,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patenta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,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tipa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ili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proizvođača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, </w:t>
      </w:r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u</w:t>
      </w:r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konkursnoj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dokumentaciji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,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praćeno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rečima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„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ili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odgovarajuće</w:t>
      </w:r>
      <w:proofErr w:type="spellEnd"/>
      <w:r w:rsidRPr="003176EE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“. </w:t>
      </w:r>
      <w:r w:rsidRPr="0009137D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</w:p>
    <w:p w14:paraId="3DB87B9B" w14:textId="503DCE5C" w:rsidR="0009137D" w:rsidRPr="0009137D" w:rsidRDefault="005D38C2" w:rsidP="0009137D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ab/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Pojam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„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ili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odgovarajuće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“,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za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određene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stavke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,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navedene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u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Obra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scu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proizvođačima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materijala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opreme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,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ponuđač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dokazuje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navođenjem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proizvođača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i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modela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koji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nudi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i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dostavlјanjem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7D4355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lastRenderedPageBreak/>
        <w:t>T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ehničkih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listova</w:t>
      </w:r>
      <w:proofErr w:type="spellEnd"/>
      <w:r w:rsidR="007D4355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i/</w:t>
      </w:r>
      <w:proofErr w:type="spellStart"/>
      <w:r w:rsidR="007D4355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ili</w:t>
      </w:r>
      <w:proofErr w:type="spellEnd"/>
      <w:r w:rsidR="007D4355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7D4355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sertifikata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svih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dobara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,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proizvoda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ili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materijala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navedenih</w:t>
      </w:r>
      <w:proofErr w:type="spellEnd"/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u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Obra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scu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proizvođačima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materijala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i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 xml:space="preserve"> </w:t>
      </w:r>
      <w:r w:rsidR="00B92862"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ru-RU" w:eastAsia="sr-Cyrl-RS"/>
        </w:rPr>
        <w:t>opreme</w:t>
      </w:r>
      <w:r w:rsidRPr="009240CC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.</w:t>
      </w:r>
      <w:r w:rsidRPr="005D38C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</w:p>
    <w:p w14:paraId="26E91C18" w14:textId="57E786F5" w:rsidR="0009137D" w:rsidRDefault="0009137D" w:rsidP="0009137D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</w:pPr>
    </w:p>
    <w:p w14:paraId="288980D2" w14:textId="7E9C9A9C" w:rsidR="005D38C2" w:rsidRDefault="00B92862" w:rsidP="005D38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eastAsia="sr-Cyrl-RS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CS" w:eastAsia="sr-Cyrl-RS"/>
        </w:rPr>
        <w:t>Rok</w:t>
      </w:r>
      <w:r w:rsidR="005D38C2"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C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CS" w:eastAsia="sr-Cyrl-RS"/>
        </w:rPr>
        <w:t>za</w:t>
      </w:r>
      <w:r w:rsidR="005D38C2"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C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CS" w:eastAsia="sr-Cyrl-RS"/>
        </w:rPr>
        <w:t>izvođenje</w:t>
      </w:r>
      <w:r w:rsidR="005D38C2"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C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CS" w:eastAsia="sr-Cyrl-RS"/>
        </w:rPr>
        <w:t>radova</w:t>
      </w:r>
    </w:p>
    <w:p w14:paraId="5957275E" w14:textId="7D177E72" w:rsidR="005D38C2" w:rsidRDefault="005D38C2" w:rsidP="005D38C2">
      <w:pPr>
        <w:spacing w:after="0" w:line="240" w:lineRule="auto"/>
        <w:jc w:val="both"/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eastAsia="sr-Cyrl-RS"/>
        </w:rPr>
      </w:pPr>
    </w:p>
    <w:p w14:paraId="5E1F2059" w14:textId="4B0CCC1D" w:rsidR="005D38C2" w:rsidRPr="005D38C2" w:rsidRDefault="005D38C2" w:rsidP="005D38C2">
      <w:pPr>
        <w:spacing w:after="0" w:line="240" w:lineRule="auto"/>
        <w:jc w:val="both"/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Rok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za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izvođenje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građevinskih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radova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koji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su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predmet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javne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nabavke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>ne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>može</w:t>
      </w:r>
      <w:proofErr w:type="spellEnd"/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>biti</w:t>
      </w:r>
      <w:proofErr w:type="spellEnd"/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>duži</w:t>
      </w:r>
      <w:proofErr w:type="spellEnd"/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>od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3B79FE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>1100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>kalendarskih</w:t>
      </w:r>
      <w:proofErr w:type="spellEnd"/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>dana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>od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>uvođenja</w:t>
      </w:r>
      <w:proofErr w:type="spellEnd"/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>u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>posao</w:t>
      </w:r>
      <w:proofErr w:type="spellEnd"/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>ponuđača</w:t>
      </w:r>
      <w:proofErr w:type="spellEnd"/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 xml:space="preserve">- </w:t>
      </w:r>
      <w:proofErr w:type="spellStart"/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>izvođača</w:t>
      </w:r>
      <w:proofErr w:type="spellEnd"/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 xml:space="preserve"> </w:t>
      </w:r>
      <w:proofErr w:type="spellStart"/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>radova</w:t>
      </w:r>
      <w:proofErr w:type="spellEnd"/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  <w:t xml:space="preserve">. </w:t>
      </w:r>
    </w:p>
    <w:p w14:paraId="6B28EE11" w14:textId="0F6F0930" w:rsidR="005D38C2" w:rsidRPr="005D38C2" w:rsidRDefault="005D38C2" w:rsidP="005D38C2">
      <w:pPr>
        <w:spacing w:after="0" w:line="240" w:lineRule="auto"/>
        <w:jc w:val="both"/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</w:pP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ab/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Radovi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na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objektu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izvode</w:t>
      </w:r>
      <w:r w:rsidRPr="005D38C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se</w:t>
      </w:r>
      <w:r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bez</w:t>
      </w:r>
      <w:r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faze</w:t>
      </w:r>
      <w:r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="00B92862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izvođenja</w:t>
      </w:r>
      <w:r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.</w:t>
      </w:r>
    </w:p>
    <w:p w14:paraId="095AD015" w14:textId="77777777" w:rsidR="005D38C2" w:rsidRPr="005D38C2" w:rsidRDefault="005D38C2" w:rsidP="005D38C2">
      <w:pPr>
        <w:spacing w:after="0" w:line="240" w:lineRule="auto"/>
        <w:jc w:val="both"/>
        <w:rPr>
          <w:rFonts w:ascii="Times New Roman" w:eastAsia="Calibri-Bold" w:hAnsi="Times New Roman" w:cs="Times New Roman"/>
          <w:color w:val="000000"/>
          <w:sz w:val="24"/>
          <w:szCs w:val="24"/>
          <w:lang w:eastAsia="sr-Cyrl-RS"/>
        </w:rPr>
      </w:pPr>
    </w:p>
    <w:p w14:paraId="3E1FD08E" w14:textId="77777777" w:rsidR="005D38C2" w:rsidRPr="005D38C2" w:rsidRDefault="005D38C2" w:rsidP="005D38C2">
      <w:pPr>
        <w:spacing w:after="0" w:line="240" w:lineRule="auto"/>
        <w:jc w:val="both"/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eastAsia="sr-Cyrl-RS"/>
        </w:rPr>
      </w:pPr>
    </w:p>
    <w:p w14:paraId="074877F8" w14:textId="2295C467" w:rsidR="005D38C2" w:rsidRPr="005D38C2" w:rsidRDefault="00B92862" w:rsidP="005D38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>Mesto</w:t>
      </w:r>
      <w:r w:rsidR="005D38C2" w:rsidRPr="005D38C2"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>izvođenja</w:t>
      </w:r>
      <w:r w:rsidR="005D38C2" w:rsidRPr="005D38C2"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color w:val="000000"/>
          <w:sz w:val="24"/>
          <w:szCs w:val="24"/>
          <w:lang w:val="sr-Cyrl-CS" w:eastAsia="sr-Cyrl-RS"/>
        </w:rPr>
        <w:t>radova</w:t>
      </w:r>
    </w:p>
    <w:p w14:paraId="022F1C65" w14:textId="77777777" w:rsidR="005D38C2" w:rsidRPr="005D38C2" w:rsidRDefault="005D38C2" w:rsidP="005D38C2">
      <w:pPr>
        <w:spacing w:after="0" w:line="240" w:lineRule="auto"/>
        <w:jc w:val="both"/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eastAsia="sr-Cyrl-RS"/>
        </w:rPr>
      </w:pPr>
    </w:p>
    <w:p w14:paraId="67656D16" w14:textId="311A2663" w:rsidR="005D38C2" w:rsidRPr="005D38C2" w:rsidRDefault="00B92862" w:rsidP="005D38C2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</w:pPr>
      <w:proofErr w:type="spellStart"/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Univerzitetska</w:t>
      </w:r>
      <w:proofErr w:type="spellEnd"/>
      <w:r w:rsidR="005D38C2" w:rsidRPr="005D38C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dečja</w:t>
      </w:r>
      <w:proofErr w:type="spellEnd"/>
      <w:r w:rsidR="005D38C2" w:rsidRPr="005D38C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klinika</w:t>
      </w:r>
      <w:proofErr w:type="spellEnd"/>
      <w:r w:rsidR="005D38C2" w:rsidRPr="005D38C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T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iršova</w:t>
      </w:r>
      <w:r w:rsidR="005D38C2" w:rsidRPr="005D38C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2, </w:t>
      </w:r>
    </w:p>
    <w:p w14:paraId="3916CD85" w14:textId="6DCE1DED" w:rsidR="005D38C2" w:rsidRPr="005D38C2" w:rsidRDefault="00B92862" w:rsidP="005D38C2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</w:pPr>
      <w:proofErr w:type="spellStart"/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Ul</w:t>
      </w:r>
      <w:proofErr w:type="spellEnd"/>
      <w:r w:rsidR="005D38C2" w:rsidRPr="005D38C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. </w:t>
      </w:r>
      <w:proofErr w:type="spellStart"/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Deligradska</w:t>
      </w:r>
      <w:proofErr w:type="spellEnd"/>
      <w:r w:rsidR="005D38C2" w:rsidRPr="005D38C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br</w:t>
      </w:r>
      <w:r w:rsidR="005D38C2" w:rsidRPr="005D38C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.40, 11000 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Beograd</w:t>
      </w:r>
      <w:r w:rsidR="005D38C2" w:rsidRPr="005D38C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, </w:t>
      </w:r>
    </w:p>
    <w:p w14:paraId="3AD729B4" w14:textId="1D22AEAD" w:rsidR="005D38C2" w:rsidRPr="005D38C2" w:rsidRDefault="00B92862" w:rsidP="005D38C2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</w:pP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K</w:t>
      </w:r>
      <w:r w:rsidR="005D38C2" w:rsidRPr="005D38C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.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P</w:t>
      </w:r>
      <w:r w:rsidR="005D38C2" w:rsidRPr="005D38C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. 1660/3 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i</w:t>
      </w:r>
      <w:r w:rsidR="005D38C2" w:rsidRPr="005D38C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1660/4, 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KO</w:t>
      </w:r>
      <w:r w:rsidR="005D38C2" w:rsidRPr="005D38C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Savski</w:t>
      </w:r>
      <w:proofErr w:type="spellEnd"/>
      <w:r w:rsidR="005D38C2" w:rsidRPr="005D38C2"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 xml:space="preserve"> </w:t>
      </w:r>
      <w:proofErr w:type="spellStart"/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eastAsia="sr-Cyrl-RS"/>
        </w:rPr>
        <w:t>Venac</w:t>
      </w:r>
      <w:proofErr w:type="spellEnd"/>
    </w:p>
    <w:p w14:paraId="6B67B5AE" w14:textId="7C5F363E" w:rsidR="005D38C2" w:rsidRDefault="00B92862" w:rsidP="005D38C2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</w:pP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Republika</w:t>
      </w:r>
      <w:r w:rsidR="005D38C2" w:rsidRPr="005D38C2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</w:t>
      </w: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>Srbija</w:t>
      </w:r>
    </w:p>
    <w:p w14:paraId="572EA8E2" w14:textId="3411CCAE" w:rsidR="005D38C2" w:rsidRDefault="005D38C2" w:rsidP="005D38C2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</w:pPr>
    </w:p>
    <w:p w14:paraId="4BE31B5C" w14:textId="0010A5A6" w:rsidR="005D38C2" w:rsidRDefault="00B92862" w:rsidP="005D38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RS" w:eastAsia="sr-Cyrl-RS"/>
        </w:rPr>
        <w:t>Obilazak</w:t>
      </w:r>
      <w:r w:rsidR="005D38C2" w:rsidRPr="005D38C2"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RS" w:eastAsia="sr-Cyrl-RS"/>
        </w:rPr>
        <w:t>lokacije</w:t>
      </w:r>
      <w:r w:rsidR="005D38C2" w:rsidRPr="005D38C2"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RS" w:eastAsia="sr-Cyrl-RS"/>
        </w:rPr>
        <w:t>za</w:t>
      </w:r>
      <w:r w:rsidR="005D38C2" w:rsidRPr="005D38C2"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RS" w:eastAsia="sr-Cyrl-RS"/>
        </w:rPr>
        <w:t>izvođenje</w:t>
      </w:r>
      <w:r w:rsidR="005D38C2" w:rsidRPr="005D38C2"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RS" w:eastAsia="sr-Cyrl-RS"/>
        </w:rPr>
        <w:t xml:space="preserve"> </w:t>
      </w: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RS" w:eastAsia="sr-Cyrl-RS"/>
        </w:rPr>
        <w:t>radova</w:t>
      </w:r>
    </w:p>
    <w:p w14:paraId="7D575A1A" w14:textId="77777777" w:rsidR="007B6031" w:rsidRDefault="007B6031" w:rsidP="007B6031">
      <w:pPr>
        <w:spacing w:after="0" w:line="240" w:lineRule="auto"/>
        <w:jc w:val="both"/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Cyrl-RS" w:eastAsia="sr-Cyrl-RS"/>
        </w:rPr>
      </w:pPr>
    </w:p>
    <w:p w14:paraId="4E7866DC" w14:textId="69307DD5" w:rsidR="007B6031" w:rsidRPr="007B6031" w:rsidRDefault="007B6031" w:rsidP="007B6031">
      <w:pPr>
        <w:spacing w:after="0" w:line="240" w:lineRule="auto"/>
        <w:jc w:val="both"/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sr-Latn-CS" w:eastAsia="sr-Cyrl-RS"/>
        </w:rPr>
        <w:tab/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>Radi obezbeđivanja uslova za pripremu prihvatlјivih ponuda, Naručilac će omogućiti obilazak lokacije za izvođenje radova, ali samo uz prethodnu prijavu, koja se podnosi pre nameravanog obilaska lokacije</w:t>
      </w:r>
      <w:r w:rsidR="00161D97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 xml:space="preserve"> </w:t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 xml:space="preserve">i koja sadrži podatke o licima ovlašćenim za obilazak lokacije. </w:t>
      </w:r>
    </w:p>
    <w:p w14:paraId="7C0EDF28" w14:textId="23B9F732" w:rsidR="007B6031" w:rsidRPr="007B6031" w:rsidRDefault="007B6031" w:rsidP="007B6031">
      <w:pPr>
        <w:spacing w:after="0" w:line="240" w:lineRule="auto"/>
        <w:jc w:val="both"/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</w:pP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ab/>
      </w:r>
      <w:r w:rsidRPr="004F1C5A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 xml:space="preserve">Zainteresovana lica dostavlјaju prijave </w:t>
      </w:r>
      <w:r w:rsidR="001A4E75" w:rsidRPr="004F1C5A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>preko Portala javnih nabavi (Zahtev za obilazak lokacije)</w:t>
      </w:r>
      <w:r w:rsidRPr="004F1C5A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>, koje moraju biti primlјene od</w:t>
      </w:r>
      <w:r w:rsidR="00271120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 xml:space="preserve"> </w:t>
      </w:r>
      <w:r w:rsidRPr="004F1C5A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 xml:space="preserve">Naručioca najkasnije </w:t>
      </w:r>
      <w:r w:rsidRPr="004F1C5A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osam</w:t>
      </w:r>
      <w:r w:rsidRPr="004F1C5A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 xml:space="preserve"> dana pre isteka roka za podnošenje ponuda.</w:t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 xml:space="preserve"> </w:t>
      </w:r>
    </w:p>
    <w:p w14:paraId="61940E8B" w14:textId="77777777" w:rsidR="007B6031" w:rsidRPr="007B6031" w:rsidRDefault="007B6031" w:rsidP="007B6031">
      <w:pPr>
        <w:spacing w:after="0" w:line="240" w:lineRule="auto"/>
        <w:jc w:val="both"/>
        <w:rPr>
          <w:rFonts w:ascii="Times New Roman" w:eastAsia="Calibri-Bold" w:hAnsi="Times New Roman" w:cs="Times New Roman"/>
          <w:color w:val="000000"/>
          <w:sz w:val="24"/>
          <w:szCs w:val="24"/>
          <w:lang w:val="en-GB" w:eastAsia="sr-Cyrl-RS"/>
        </w:rPr>
      </w:pP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ab/>
        <w:t xml:space="preserve">Lice za kontakt:  </w:t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Dragana Nenadić,</w:t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 xml:space="preserve"> telefon 064/</w:t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1506152</w:t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>.</w:t>
      </w:r>
    </w:p>
    <w:p w14:paraId="07FEE502" w14:textId="10DBD385" w:rsidR="007B6031" w:rsidRPr="007B6031" w:rsidRDefault="007B6031" w:rsidP="007B6031">
      <w:pPr>
        <w:spacing w:after="0" w:line="240" w:lineRule="auto"/>
        <w:jc w:val="both"/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</w:pP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ab/>
        <w:t>Naručilac će blagovremeno</w:t>
      </w:r>
      <w:r w:rsidR="001A4E75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>, putem Portala javnih nabavki</w:t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obavestiti podnosioca prijave o datumu posete gradilištu.</w:t>
      </w:r>
    </w:p>
    <w:p w14:paraId="58A43087" w14:textId="77777777" w:rsidR="007B6031" w:rsidRPr="007B6031" w:rsidRDefault="007B6031" w:rsidP="007B6031">
      <w:pPr>
        <w:spacing w:after="0" w:line="240" w:lineRule="auto"/>
        <w:jc w:val="both"/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</w:pP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</w:t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ab/>
        <w:t xml:space="preserve">Naručilac će </w:t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>pripremiti</w:t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izjave o obilasku lokacije koje </w:t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>je po</w:t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>treb</w:t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>no</w:t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da potpišu ovlašćeni predstavnici zainteresovanih </w:t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Latn-CS" w:eastAsia="sr-Cyrl-RS"/>
        </w:rPr>
        <w:t>lica</w:t>
      </w:r>
      <w:r w:rsidRPr="007B6031">
        <w:rPr>
          <w:rFonts w:ascii="Times New Roman" w:eastAsia="Calibri-Bold" w:hAnsi="Times New Roman" w:cs="Times New Roman"/>
          <w:color w:val="000000"/>
          <w:sz w:val="24"/>
          <w:szCs w:val="24"/>
          <w:lang w:val="sr-Cyrl-CS" w:eastAsia="sr-Cyrl-RS"/>
        </w:rPr>
        <w:t xml:space="preserve"> prilikom obilaska lokacije.</w:t>
      </w:r>
    </w:p>
    <w:p w14:paraId="76C4D3BF" w14:textId="74A6D0A8" w:rsidR="005D38C2" w:rsidRPr="005D38C2" w:rsidRDefault="005D38C2" w:rsidP="007B6031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Latn-CS" w:eastAsia="sr-Cyrl-RS"/>
        </w:rPr>
      </w:pPr>
    </w:p>
    <w:p w14:paraId="29E5FC3D" w14:textId="770A7F82" w:rsidR="005D38C2" w:rsidRDefault="005D38C2" w:rsidP="005D38C2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</w:pPr>
    </w:p>
    <w:p w14:paraId="557BD0F4" w14:textId="0A0C04D3" w:rsidR="005D38C2" w:rsidRDefault="005D38C2" w:rsidP="005D38C2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</w:pPr>
    </w:p>
    <w:p w14:paraId="3D511B17" w14:textId="237EBBF2" w:rsidR="00022035" w:rsidRPr="001A4E75" w:rsidRDefault="00022035" w:rsidP="0046446E">
      <w:pPr>
        <w:spacing w:after="0" w:line="240" w:lineRule="auto"/>
        <w:jc w:val="both"/>
        <w:rPr>
          <w:rFonts w:ascii="Times New Roman" w:eastAsia="Calibri-Bold" w:hAnsi="Times New Roman" w:cs="Times New Roman"/>
          <w:bCs/>
          <w:strike/>
          <w:color w:val="000000"/>
          <w:sz w:val="24"/>
          <w:szCs w:val="24"/>
          <w:lang w:eastAsia="sr-Cyrl-RS"/>
        </w:rPr>
      </w:pPr>
    </w:p>
    <w:sectPr w:rsidR="00022035" w:rsidRPr="001A4E75" w:rsidSect="00687CE6">
      <w:footerReference w:type="default" r:id="rId8"/>
      <w:pgSz w:w="12240" w:h="15840"/>
      <w:pgMar w:top="720" w:right="1440" w:bottom="117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08FE" w14:textId="77777777" w:rsidR="00D63D2C" w:rsidRDefault="00D63D2C" w:rsidP="00F564F4">
      <w:pPr>
        <w:spacing w:after="0" w:line="240" w:lineRule="auto"/>
      </w:pPr>
      <w:r>
        <w:separator/>
      </w:r>
    </w:p>
  </w:endnote>
  <w:endnote w:type="continuationSeparator" w:id="0">
    <w:p w14:paraId="4939B88C" w14:textId="77777777" w:rsidR="00D63D2C" w:rsidRDefault="00D63D2C" w:rsidP="00F5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971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3B4D6" w14:textId="702D8E53" w:rsidR="00C729C7" w:rsidRDefault="00C729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367245" w14:textId="77777777" w:rsidR="00C729C7" w:rsidRDefault="00C72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A340" w14:textId="77777777" w:rsidR="00D63D2C" w:rsidRDefault="00D63D2C" w:rsidP="00F564F4">
      <w:pPr>
        <w:spacing w:after="0" w:line="240" w:lineRule="auto"/>
      </w:pPr>
      <w:r>
        <w:separator/>
      </w:r>
    </w:p>
  </w:footnote>
  <w:footnote w:type="continuationSeparator" w:id="0">
    <w:p w14:paraId="7F52C10C" w14:textId="77777777" w:rsidR="00D63D2C" w:rsidRDefault="00D63D2C" w:rsidP="00F56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3359"/>
    <w:multiLevelType w:val="hybridMultilevel"/>
    <w:tmpl w:val="15605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A145C"/>
    <w:multiLevelType w:val="hybridMultilevel"/>
    <w:tmpl w:val="B2B8EDA0"/>
    <w:lvl w:ilvl="0" w:tplc="17DCBF60">
      <w:start w:val="1"/>
      <w:numFmt w:val="decimal"/>
      <w:pStyle w:val="nabrajanjebold"/>
      <w:lvlText w:val="%1."/>
      <w:lvlJc w:val="left"/>
      <w:pPr>
        <w:ind w:left="107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7A53"/>
    <w:multiLevelType w:val="hybridMultilevel"/>
    <w:tmpl w:val="C9AAF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8691B"/>
    <w:multiLevelType w:val="hybridMultilevel"/>
    <w:tmpl w:val="92ECEF2C"/>
    <w:lvl w:ilvl="0" w:tplc="A74C94B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EF2258A"/>
    <w:multiLevelType w:val="multilevel"/>
    <w:tmpl w:val="B5226260"/>
    <w:lvl w:ilvl="0">
      <w:start w:val="1"/>
      <w:numFmt w:val="bullet"/>
      <w:lvlText w:val="−"/>
      <w:lvlJc w:val="left"/>
      <w:pPr>
        <w:ind w:left="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</w:abstractNum>
  <w:num w:numId="1" w16cid:durableId="1292518962">
    <w:abstractNumId w:val="1"/>
    <w:lvlOverride w:ilvl="0">
      <w:startOverride w:val="1"/>
    </w:lvlOverride>
  </w:num>
  <w:num w:numId="2" w16cid:durableId="1854876766">
    <w:abstractNumId w:val="1"/>
  </w:num>
  <w:num w:numId="3" w16cid:durableId="192966460">
    <w:abstractNumId w:val="3"/>
  </w:num>
  <w:num w:numId="4" w16cid:durableId="1941180912">
    <w:abstractNumId w:val="4"/>
  </w:num>
  <w:num w:numId="5" w16cid:durableId="704867969">
    <w:abstractNumId w:val="0"/>
  </w:num>
  <w:num w:numId="6" w16cid:durableId="116872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9A"/>
    <w:rsid w:val="000045DC"/>
    <w:rsid w:val="00005450"/>
    <w:rsid w:val="00010AD1"/>
    <w:rsid w:val="00010BFE"/>
    <w:rsid w:val="00022035"/>
    <w:rsid w:val="0002337A"/>
    <w:rsid w:val="00047828"/>
    <w:rsid w:val="000512B1"/>
    <w:rsid w:val="00061C4B"/>
    <w:rsid w:val="00074160"/>
    <w:rsid w:val="00074CEA"/>
    <w:rsid w:val="000754DD"/>
    <w:rsid w:val="0009137D"/>
    <w:rsid w:val="00093BD7"/>
    <w:rsid w:val="00095A24"/>
    <w:rsid w:val="000A4D9E"/>
    <w:rsid w:val="000D2086"/>
    <w:rsid w:val="000E2217"/>
    <w:rsid w:val="0010510F"/>
    <w:rsid w:val="00110ACE"/>
    <w:rsid w:val="00112B56"/>
    <w:rsid w:val="00124725"/>
    <w:rsid w:val="00135298"/>
    <w:rsid w:val="00154A35"/>
    <w:rsid w:val="00157742"/>
    <w:rsid w:val="001604B1"/>
    <w:rsid w:val="00161D97"/>
    <w:rsid w:val="00165134"/>
    <w:rsid w:val="00173EE8"/>
    <w:rsid w:val="00176955"/>
    <w:rsid w:val="001936F1"/>
    <w:rsid w:val="00194283"/>
    <w:rsid w:val="001A4E75"/>
    <w:rsid w:val="00205B6D"/>
    <w:rsid w:val="002521F4"/>
    <w:rsid w:val="00254E17"/>
    <w:rsid w:val="00260FF5"/>
    <w:rsid w:val="00271120"/>
    <w:rsid w:val="002729BE"/>
    <w:rsid w:val="002819F8"/>
    <w:rsid w:val="002857C1"/>
    <w:rsid w:val="002C5F1C"/>
    <w:rsid w:val="002C7144"/>
    <w:rsid w:val="002E412D"/>
    <w:rsid w:val="003176EE"/>
    <w:rsid w:val="00343CCC"/>
    <w:rsid w:val="0038307A"/>
    <w:rsid w:val="003A43A4"/>
    <w:rsid w:val="003B79FE"/>
    <w:rsid w:val="003E342F"/>
    <w:rsid w:val="003E5F32"/>
    <w:rsid w:val="003F0165"/>
    <w:rsid w:val="003F742F"/>
    <w:rsid w:val="00420F59"/>
    <w:rsid w:val="004257CE"/>
    <w:rsid w:val="0043610A"/>
    <w:rsid w:val="00463AAC"/>
    <w:rsid w:val="0046446E"/>
    <w:rsid w:val="004901A5"/>
    <w:rsid w:val="004B0FDD"/>
    <w:rsid w:val="004B731E"/>
    <w:rsid w:val="004C62C6"/>
    <w:rsid w:val="004F1C5A"/>
    <w:rsid w:val="00500D77"/>
    <w:rsid w:val="005029D5"/>
    <w:rsid w:val="00503678"/>
    <w:rsid w:val="00515EE5"/>
    <w:rsid w:val="00516F56"/>
    <w:rsid w:val="00533BE6"/>
    <w:rsid w:val="005362B7"/>
    <w:rsid w:val="00537EB2"/>
    <w:rsid w:val="005400D9"/>
    <w:rsid w:val="00540E7D"/>
    <w:rsid w:val="00540F29"/>
    <w:rsid w:val="0054562E"/>
    <w:rsid w:val="00555C74"/>
    <w:rsid w:val="005948BB"/>
    <w:rsid w:val="00596097"/>
    <w:rsid w:val="00596C7F"/>
    <w:rsid w:val="005C072D"/>
    <w:rsid w:val="005D38C2"/>
    <w:rsid w:val="005F01AE"/>
    <w:rsid w:val="00626E1C"/>
    <w:rsid w:val="00636FDF"/>
    <w:rsid w:val="0065324E"/>
    <w:rsid w:val="00663BB8"/>
    <w:rsid w:val="0067317B"/>
    <w:rsid w:val="006801FB"/>
    <w:rsid w:val="00687CE6"/>
    <w:rsid w:val="00693D5F"/>
    <w:rsid w:val="006A43D6"/>
    <w:rsid w:val="006C0243"/>
    <w:rsid w:val="006C6A9A"/>
    <w:rsid w:val="006C6B16"/>
    <w:rsid w:val="006C7C7C"/>
    <w:rsid w:val="006F48DA"/>
    <w:rsid w:val="0070099A"/>
    <w:rsid w:val="00702D7B"/>
    <w:rsid w:val="00715550"/>
    <w:rsid w:val="00723A28"/>
    <w:rsid w:val="00757CAD"/>
    <w:rsid w:val="00782017"/>
    <w:rsid w:val="00785110"/>
    <w:rsid w:val="00790274"/>
    <w:rsid w:val="007902B9"/>
    <w:rsid w:val="007A4C83"/>
    <w:rsid w:val="007A5009"/>
    <w:rsid w:val="007B4B90"/>
    <w:rsid w:val="007B6031"/>
    <w:rsid w:val="007D32BB"/>
    <w:rsid w:val="007D4355"/>
    <w:rsid w:val="007D4471"/>
    <w:rsid w:val="007F3604"/>
    <w:rsid w:val="007F40E2"/>
    <w:rsid w:val="007F6B2D"/>
    <w:rsid w:val="00813A93"/>
    <w:rsid w:val="00820D34"/>
    <w:rsid w:val="00865401"/>
    <w:rsid w:val="0089673F"/>
    <w:rsid w:val="008D735D"/>
    <w:rsid w:val="008E33D8"/>
    <w:rsid w:val="008F0244"/>
    <w:rsid w:val="008F2A51"/>
    <w:rsid w:val="00902B30"/>
    <w:rsid w:val="0091588B"/>
    <w:rsid w:val="0092044B"/>
    <w:rsid w:val="009240CC"/>
    <w:rsid w:val="00924E6C"/>
    <w:rsid w:val="0093239D"/>
    <w:rsid w:val="009408B6"/>
    <w:rsid w:val="009709B5"/>
    <w:rsid w:val="00977669"/>
    <w:rsid w:val="009A45BB"/>
    <w:rsid w:val="009B342E"/>
    <w:rsid w:val="009C355A"/>
    <w:rsid w:val="009D3C7E"/>
    <w:rsid w:val="009F0943"/>
    <w:rsid w:val="009F660D"/>
    <w:rsid w:val="00A01219"/>
    <w:rsid w:val="00A25B29"/>
    <w:rsid w:val="00A51ED9"/>
    <w:rsid w:val="00A61482"/>
    <w:rsid w:val="00A66A77"/>
    <w:rsid w:val="00A862BE"/>
    <w:rsid w:val="00A86D4D"/>
    <w:rsid w:val="00A95530"/>
    <w:rsid w:val="00A96A38"/>
    <w:rsid w:val="00AB6D85"/>
    <w:rsid w:val="00AC136E"/>
    <w:rsid w:val="00AE00A9"/>
    <w:rsid w:val="00B05EA2"/>
    <w:rsid w:val="00B3077D"/>
    <w:rsid w:val="00B67635"/>
    <w:rsid w:val="00B67A97"/>
    <w:rsid w:val="00B801F2"/>
    <w:rsid w:val="00B92862"/>
    <w:rsid w:val="00BA1B18"/>
    <w:rsid w:val="00BC526F"/>
    <w:rsid w:val="00BD125A"/>
    <w:rsid w:val="00BF00C6"/>
    <w:rsid w:val="00C00B9B"/>
    <w:rsid w:val="00C06F0C"/>
    <w:rsid w:val="00C14FC4"/>
    <w:rsid w:val="00C21C84"/>
    <w:rsid w:val="00C45F97"/>
    <w:rsid w:val="00C46E72"/>
    <w:rsid w:val="00C729C7"/>
    <w:rsid w:val="00C82EF4"/>
    <w:rsid w:val="00C83EDE"/>
    <w:rsid w:val="00C95F4C"/>
    <w:rsid w:val="00D44B07"/>
    <w:rsid w:val="00D50524"/>
    <w:rsid w:val="00D54296"/>
    <w:rsid w:val="00D63D2C"/>
    <w:rsid w:val="00D67DD6"/>
    <w:rsid w:val="00D91D5C"/>
    <w:rsid w:val="00D97359"/>
    <w:rsid w:val="00D97F97"/>
    <w:rsid w:val="00DA2342"/>
    <w:rsid w:val="00DA7511"/>
    <w:rsid w:val="00DB50BA"/>
    <w:rsid w:val="00DB517C"/>
    <w:rsid w:val="00DE1507"/>
    <w:rsid w:val="00E20427"/>
    <w:rsid w:val="00E224C6"/>
    <w:rsid w:val="00E4330E"/>
    <w:rsid w:val="00E46ABB"/>
    <w:rsid w:val="00E73220"/>
    <w:rsid w:val="00E75617"/>
    <w:rsid w:val="00E878D2"/>
    <w:rsid w:val="00EC66AF"/>
    <w:rsid w:val="00F14466"/>
    <w:rsid w:val="00F21757"/>
    <w:rsid w:val="00F31D94"/>
    <w:rsid w:val="00F3671D"/>
    <w:rsid w:val="00F564F4"/>
    <w:rsid w:val="00F613E4"/>
    <w:rsid w:val="00F8335C"/>
    <w:rsid w:val="00FE19C4"/>
    <w:rsid w:val="00F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8BE4E"/>
  <w15:chartTrackingRefBased/>
  <w15:docId w15:val="{882BDD2E-34A0-4868-BAF0-078A3811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ebold">
    <w:name w:val="nabrajanje bold"/>
    <w:basedOn w:val="Normal"/>
    <w:qFormat/>
    <w:rsid w:val="00022035"/>
    <w:pPr>
      <w:numPr>
        <w:numId w:val="1"/>
      </w:numPr>
      <w:spacing w:after="0" w:line="240" w:lineRule="auto"/>
    </w:pPr>
    <w:rPr>
      <w:rFonts w:ascii="Times New Roman" w:eastAsia="Calibri-Bold" w:hAnsi="Times New Roman" w:cs="Times New Roman"/>
      <w:b/>
      <w:sz w:val="24"/>
      <w:szCs w:val="24"/>
      <w:lang w:val="sr-Cyrl-RS" w:eastAsia="sr-Cyrl-RS"/>
    </w:rPr>
  </w:style>
  <w:style w:type="paragraph" w:styleId="Header">
    <w:name w:val="header"/>
    <w:basedOn w:val="Normal"/>
    <w:link w:val="HeaderChar"/>
    <w:uiPriority w:val="99"/>
    <w:unhideWhenUsed/>
    <w:rsid w:val="00F56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4F4"/>
  </w:style>
  <w:style w:type="paragraph" w:styleId="Footer">
    <w:name w:val="footer"/>
    <w:basedOn w:val="Normal"/>
    <w:link w:val="FooterChar"/>
    <w:uiPriority w:val="99"/>
    <w:unhideWhenUsed/>
    <w:rsid w:val="00F56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4F4"/>
  </w:style>
  <w:style w:type="character" w:styleId="Hyperlink">
    <w:name w:val="Hyperlink"/>
    <w:basedOn w:val="DefaultParagraphFont"/>
    <w:uiPriority w:val="99"/>
    <w:unhideWhenUsed/>
    <w:rsid w:val="00420F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F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6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60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4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A40E-90E0-4883-9F9F-066C4F60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Dragana Nenadić</cp:lastModifiedBy>
  <cp:revision>85</cp:revision>
  <cp:lastPrinted>2023-07-03T06:30:00Z</cp:lastPrinted>
  <dcterms:created xsi:type="dcterms:W3CDTF">2022-07-21T12:20:00Z</dcterms:created>
  <dcterms:modified xsi:type="dcterms:W3CDTF">2023-07-11T17:42:00Z</dcterms:modified>
</cp:coreProperties>
</file>