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80EBC" w14:textId="77777777" w:rsidR="00A274FF" w:rsidRPr="00133A10" w:rsidRDefault="00A274FF" w:rsidP="00900CB1">
      <w:pPr>
        <w:spacing w:after="0" w:line="240" w:lineRule="auto"/>
        <w:jc w:val="both"/>
        <w:rPr>
          <w:rFonts w:ascii="Arial" w:hAnsi="Arial" w:cs="Arial"/>
          <w:b/>
        </w:rPr>
      </w:pPr>
    </w:p>
    <w:p w14:paraId="0AFA14F2" w14:textId="77777777" w:rsidR="00832F5E" w:rsidRPr="00133A10" w:rsidRDefault="00443458" w:rsidP="00900CB1">
      <w:pPr>
        <w:spacing w:after="0" w:line="240" w:lineRule="auto"/>
        <w:jc w:val="both"/>
        <w:rPr>
          <w:rFonts w:ascii="Arial" w:hAnsi="Arial" w:cs="Arial"/>
          <w:b/>
        </w:rPr>
      </w:pPr>
      <w:r w:rsidRPr="00133A10">
        <w:rPr>
          <w:rFonts w:ascii="Arial" w:hAnsi="Arial" w:cs="Arial"/>
          <w:b/>
        </w:rPr>
        <w:t xml:space="preserve">ОПИС И </w:t>
      </w:r>
      <w:r w:rsidR="009278D1" w:rsidRPr="00133A10">
        <w:rPr>
          <w:rFonts w:ascii="Arial" w:hAnsi="Arial" w:cs="Arial"/>
          <w:b/>
        </w:rPr>
        <w:t>СПЕЦИФИКАЦИЈА</w:t>
      </w:r>
      <w:r w:rsidRPr="00133A10">
        <w:rPr>
          <w:rFonts w:ascii="Arial" w:hAnsi="Arial" w:cs="Arial"/>
          <w:b/>
        </w:rPr>
        <w:t xml:space="preserve"> ПРЕДМЕТА ЈАВНЕ НАБАВКЕ</w:t>
      </w:r>
    </w:p>
    <w:p w14:paraId="370248CE" w14:textId="77777777" w:rsidR="00A60490" w:rsidRDefault="00A60490" w:rsidP="00900CB1">
      <w:pPr>
        <w:spacing w:after="0" w:line="240" w:lineRule="auto"/>
        <w:jc w:val="both"/>
        <w:rPr>
          <w:rFonts w:ascii="Arial" w:hAnsi="Arial" w:cs="Arial"/>
          <w:b/>
          <w:lang w:val="sr-Cyrl-RS"/>
        </w:rPr>
      </w:pPr>
    </w:p>
    <w:p w14:paraId="068270B3" w14:textId="77777777" w:rsidR="00CD7FDA" w:rsidRPr="00CD7FDA" w:rsidRDefault="00CD7FDA" w:rsidP="00900CB1">
      <w:pPr>
        <w:spacing w:after="0" w:line="240" w:lineRule="auto"/>
        <w:jc w:val="both"/>
        <w:rPr>
          <w:rFonts w:ascii="Arial" w:hAnsi="Arial" w:cs="Arial"/>
          <w:b/>
          <w:lang w:val="sr-Cyrl-RS"/>
        </w:rPr>
      </w:pPr>
    </w:p>
    <w:p w14:paraId="52B6C1A3" w14:textId="77777777" w:rsidR="006932E9" w:rsidRPr="00133A10" w:rsidRDefault="006932E9" w:rsidP="006932E9">
      <w:pPr>
        <w:autoSpaceDE w:val="0"/>
        <w:autoSpaceDN w:val="0"/>
        <w:adjustRightInd w:val="0"/>
        <w:spacing w:after="0" w:line="240" w:lineRule="auto"/>
        <w:jc w:val="center"/>
        <w:rPr>
          <w:rFonts w:ascii="Arial" w:hAnsi="Arial" w:cs="Arial"/>
          <w:lang w:val="ru-RU"/>
        </w:rPr>
      </w:pPr>
      <w:r w:rsidRPr="00133A10">
        <w:rPr>
          <w:rFonts w:ascii="Arial" w:hAnsi="Arial" w:cs="Arial"/>
        </w:rPr>
        <w:t xml:space="preserve">Јавна набавка услуга  - </w:t>
      </w:r>
      <w:r w:rsidRPr="00133A10">
        <w:rPr>
          <w:rFonts w:ascii="Arial" w:hAnsi="Arial" w:cs="Arial"/>
          <w:lang w:val="sr-Cyrl-CS"/>
        </w:rPr>
        <w:t>План детаљне регулације пута Бор 2 – Бањско поље</w:t>
      </w:r>
      <w:r w:rsidRPr="00133A10">
        <w:rPr>
          <w:rFonts w:ascii="Arial" w:hAnsi="Arial" w:cs="Arial"/>
          <w:lang w:val="sr-Cyrl-RS"/>
        </w:rPr>
        <w:t>,</w:t>
      </w:r>
    </w:p>
    <w:p w14:paraId="0753AD90" w14:textId="482F779C" w:rsidR="00900CB1" w:rsidRPr="00133A10" w:rsidRDefault="006932E9" w:rsidP="006932E9">
      <w:pPr>
        <w:autoSpaceDE w:val="0"/>
        <w:autoSpaceDN w:val="0"/>
        <w:adjustRightInd w:val="0"/>
        <w:spacing w:after="0" w:line="240" w:lineRule="auto"/>
        <w:jc w:val="center"/>
        <w:rPr>
          <w:rFonts w:ascii="Arial" w:eastAsia="TimesNewRomanPSMT" w:hAnsi="Arial" w:cs="Arial"/>
          <w:lang w:val="ru-RU"/>
        </w:rPr>
      </w:pPr>
      <w:r w:rsidRPr="00133A10">
        <w:rPr>
          <w:rFonts w:ascii="Arial" w:eastAsia="TimesNewRomanPSMT" w:hAnsi="Arial" w:cs="Arial"/>
          <w:lang w:val="ru-RU"/>
        </w:rPr>
        <w:t>редни број 0172/2025</w:t>
      </w:r>
    </w:p>
    <w:p w14:paraId="6DBB6757" w14:textId="77777777" w:rsidR="00133A10" w:rsidRPr="00133A10" w:rsidRDefault="00133A10" w:rsidP="006932E9">
      <w:pPr>
        <w:autoSpaceDE w:val="0"/>
        <w:autoSpaceDN w:val="0"/>
        <w:adjustRightInd w:val="0"/>
        <w:spacing w:after="0" w:line="240" w:lineRule="auto"/>
        <w:jc w:val="center"/>
        <w:rPr>
          <w:rFonts w:ascii="Arial" w:eastAsia="TimesNewRomanPSMT" w:hAnsi="Arial" w:cs="Arial"/>
          <w:lang w:val="ru-RU"/>
        </w:rPr>
      </w:pPr>
    </w:p>
    <w:p w14:paraId="11B99630" w14:textId="77777777" w:rsidR="00133A10" w:rsidRPr="00133A10" w:rsidRDefault="00133A10" w:rsidP="00133A10">
      <w:pPr>
        <w:pStyle w:val="Standard"/>
        <w:rPr>
          <w:rFonts w:ascii="Arial" w:hAnsi="Arial" w:cs="Arial"/>
          <w:sz w:val="22"/>
          <w:szCs w:val="22"/>
          <w:lang w:val="ru-RU"/>
        </w:rPr>
      </w:pPr>
      <w:r w:rsidRPr="00133A10">
        <w:rPr>
          <w:rFonts w:ascii="Arial" w:hAnsi="Arial" w:cs="Arial"/>
          <w:b/>
          <w:bCs/>
          <w:sz w:val="22"/>
          <w:szCs w:val="22"/>
          <w:lang w:val="ru-RU"/>
        </w:rPr>
        <w:t>Опис обавеза – пројектни задатак</w:t>
      </w:r>
    </w:p>
    <w:p w14:paraId="17C35DF9" w14:textId="77777777" w:rsidR="00133A10" w:rsidRPr="00133A10" w:rsidRDefault="00133A10" w:rsidP="00133A10">
      <w:pPr>
        <w:pStyle w:val="Standard"/>
        <w:rPr>
          <w:rFonts w:ascii="Arial" w:hAnsi="Arial" w:cs="Arial"/>
          <w:sz w:val="22"/>
          <w:szCs w:val="22"/>
          <w:u w:val="single"/>
          <w:lang w:val="ru-RU"/>
        </w:rPr>
      </w:pPr>
    </w:p>
    <w:p w14:paraId="3CF8C537" w14:textId="77777777" w:rsidR="00133A10" w:rsidRPr="00133A10" w:rsidRDefault="00133A10" w:rsidP="00133A10">
      <w:pPr>
        <w:pStyle w:val="Standard"/>
        <w:autoSpaceDE w:val="0"/>
        <w:ind w:firstLine="720"/>
        <w:jc w:val="both"/>
        <w:rPr>
          <w:rFonts w:ascii="Arial" w:eastAsia="ArialNarrow" w:hAnsi="Arial" w:cs="Arial"/>
          <w:sz w:val="22"/>
          <w:szCs w:val="22"/>
          <w:shd w:val="clear" w:color="auto" w:fill="FFFF00"/>
          <w:lang w:val="ru-RU"/>
        </w:rPr>
      </w:pPr>
    </w:p>
    <w:p w14:paraId="2EB2ABD1" w14:textId="77777777" w:rsidR="00133A10" w:rsidRPr="00133A10" w:rsidRDefault="00133A10" w:rsidP="00133A10">
      <w:pPr>
        <w:pStyle w:val="Standard"/>
        <w:autoSpaceDE w:val="0"/>
        <w:ind w:firstLine="720"/>
        <w:jc w:val="both"/>
        <w:rPr>
          <w:rFonts w:ascii="Arial" w:hAnsi="Arial" w:cs="Arial"/>
          <w:sz w:val="22"/>
          <w:szCs w:val="22"/>
          <w:lang w:val="ru-RU"/>
        </w:rPr>
      </w:pPr>
      <w:r w:rsidRPr="00133A10">
        <w:rPr>
          <w:rFonts w:ascii="Arial" w:hAnsi="Arial" w:cs="Arial"/>
          <w:sz w:val="22"/>
          <w:szCs w:val="22"/>
          <w:lang w:val="ru-RU"/>
        </w:rPr>
        <w:t xml:space="preserve">У складу са одредбама Закона о планирању и изградњи („Службени гласник РС“, бр. 72/09, 81/09-исправка, 64/10- одлука УС, 24/11, 121/12, 42/13 – одлука УС, 50/13 – одлука УС, 98/13 – одлука УС, 132/14, 145/14, 83/2018, 31/19, 37/19 – др. Закон, 9/20 и 52/21) и подзаконским актима потребно је израдити план детаљне регулације за изградњу интерне обилазнице државних путева </w:t>
      </w:r>
      <w:r w:rsidRPr="00133A10">
        <w:rPr>
          <w:rFonts w:ascii="Arial" w:hAnsi="Arial" w:cs="Arial"/>
          <w:sz w:val="22"/>
          <w:szCs w:val="22"/>
        </w:rPr>
        <w:t>I</w:t>
      </w:r>
      <w:r w:rsidRPr="00133A10">
        <w:rPr>
          <w:rFonts w:ascii="Arial" w:hAnsi="Arial" w:cs="Arial"/>
          <w:sz w:val="22"/>
          <w:szCs w:val="22"/>
          <w:lang w:val="ru-RU"/>
        </w:rPr>
        <w:t xml:space="preserve">Б-37 и </w:t>
      </w:r>
      <w:r w:rsidRPr="00133A10">
        <w:rPr>
          <w:rFonts w:ascii="Arial" w:hAnsi="Arial" w:cs="Arial"/>
          <w:sz w:val="22"/>
          <w:szCs w:val="22"/>
        </w:rPr>
        <w:t>II</w:t>
      </w:r>
      <w:r w:rsidRPr="00133A10">
        <w:rPr>
          <w:rFonts w:ascii="Arial" w:hAnsi="Arial" w:cs="Arial"/>
          <w:sz w:val="22"/>
          <w:szCs w:val="22"/>
          <w:lang w:val="ru-RU"/>
        </w:rPr>
        <w:t xml:space="preserve">А-166 са идејним решењем планиране саобраћајнице и стратешком проценом утицаја плана на животну средуну.  План је потребно ускладити са плановима вишег реда који су у примени на датом простору, са донетим државним стратегијама, и у што већој мери ускладити са стеченим урбанистичким обавезама. Имајући у виду да се за територију која је предмет овог Плана израђује већи број различитих планских докумената, од којих је један од најзначајних Просторни план града Бора, током израде овог Плана потребно је постићи међусобно усклађивање свих планова чија је израда у току. </w:t>
      </w:r>
    </w:p>
    <w:p w14:paraId="34F464E4" w14:textId="77777777" w:rsidR="00CD7FDA" w:rsidRDefault="00133A10" w:rsidP="00133A10">
      <w:pPr>
        <w:pStyle w:val="Standard"/>
        <w:autoSpaceDE w:val="0"/>
        <w:ind w:firstLine="720"/>
        <w:jc w:val="both"/>
        <w:rPr>
          <w:rFonts w:ascii="Arial" w:hAnsi="Arial" w:cs="Arial"/>
          <w:sz w:val="22"/>
          <w:szCs w:val="22"/>
          <w:lang w:val="ru-RU"/>
        </w:rPr>
      </w:pPr>
      <w:r w:rsidRPr="00133A10">
        <w:rPr>
          <w:rFonts w:ascii="Arial" w:hAnsi="Arial" w:cs="Arial"/>
          <w:sz w:val="22"/>
          <w:szCs w:val="22"/>
          <w:lang w:val="ru-RU"/>
        </w:rPr>
        <w:t xml:space="preserve">Плански обухват налази се у катастарској општини Бор 1, у границама Генералног урбанистичког плана Бора и Плана генералне регулације градског насеља Бор. </w:t>
      </w:r>
    </w:p>
    <w:p w14:paraId="1491DDE6" w14:textId="77777777" w:rsidR="00CD7FDA" w:rsidRDefault="00133A10" w:rsidP="00133A10">
      <w:pPr>
        <w:pStyle w:val="Standard"/>
        <w:autoSpaceDE w:val="0"/>
        <w:ind w:firstLine="720"/>
        <w:jc w:val="both"/>
        <w:rPr>
          <w:rFonts w:ascii="Arial" w:hAnsi="Arial" w:cs="Arial"/>
          <w:sz w:val="22"/>
          <w:szCs w:val="22"/>
          <w:lang w:val="ru-RU"/>
        </w:rPr>
      </w:pPr>
      <w:r w:rsidRPr="00133A10">
        <w:rPr>
          <w:rFonts w:ascii="Arial" w:hAnsi="Arial" w:cs="Arial"/>
          <w:sz w:val="22"/>
          <w:szCs w:val="22"/>
          <w:lang w:val="ru-RU"/>
        </w:rPr>
        <w:t xml:space="preserve">У границама планског обухвата налази се административно подручје града Бора. </w:t>
      </w:r>
    </w:p>
    <w:p w14:paraId="17764CCA" w14:textId="1ECF5F90" w:rsidR="00133A10" w:rsidRPr="00133A10" w:rsidRDefault="00133A10" w:rsidP="00133A10">
      <w:pPr>
        <w:pStyle w:val="Standard"/>
        <w:autoSpaceDE w:val="0"/>
        <w:ind w:firstLine="720"/>
        <w:jc w:val="both"/>
        <w:rPr>
          <w:rFonts w:ascii="Arial" w:hAnsi="Arial" w:cs="Arial"/>
          <w:sz w:val="22"/>
          <w:szCs w:val="22"/>
          <w:lang w:val="ru-RU"/>
        </w:rPr>
      </w:pPr>
      <w:r w:rsidRPr="00133A10">
        <w:rPr>
          <w:rFonts w:ascii="Arial" w:hAnsi="Arial" w:cs="Arial"/>
          <w:sz w:val="22"/>
          <w:szCs w:val="22"/>
          <w:lang w:val="ru-RU"/>
        </w:rPr>
        <w:t xml:space="preserve">Основни принципи који се морају поштовати при изради Плана су: промоција </w:t>
      </w:r>
      <w:r w:rsidRPr="00133A10">
        <w:rPr>
          <w:rFonts w:ascii="Arial" w:hAnsi="Arial" w:cs="Arial"/>
          <w:sz w:val="22"/>
          <w:szCs w:val="22"/>
        </w:rPr>
        <w:t>o</w:t>
      </w:r>
      <w:r w:rsidRPr="00133A10">
        <w:rPr>
          <w:rFonts w:ascii="Arial" w:hAnsi="Arial" w:cs="Arial"/>
          <w:sz w:val="22"/>
          <w:szCs w:val="22"/>
          <w:lang w:val="ru-RU"/>
        </w:rPr>
        <w:t>држивости развоја свих економских и других активности у простору; конзистентност и усклађеност са јавним политикама, рационално коришћење и очување територијалног капитала, локалног и регионалног идентитета, заштита јавног интереса и јавних добара; превенција, санација, смањење и ограничење загађивања животне средине; економска оправданост, социјална прихватљивост и просторно-еколошка предострожност у избору програма и пројеката/локација; поступност у примени принципа одрживог развоја; корпоративна социјална и еколошка одговорност; подстицање територијалне кохезије ради смањења просторних неравномерности; енергетска ефикасност; повећање локалне територијалне и економске конкурентности, атрактивности и приступачности подручја; регионална интегрисаност и функционално повезивање са суседством и ширим окружењем; заштита и презентација природне и културне баштине; транспарентност у доношењу планских и инвестиционих одлука.</w:t>
      </w:r>
    </w:p>
    <w:p w14:paraId="54911FD0" w14:textId="77777777" w:rsidR="00133A10" w:rsidRPr="007978C9" w:rsidRDefault="00133A10" w:rsidP="00133A10">
      <w:pPr>
        <w:pStyle w:val="Standard"/>
        <w:autoSpaceDE w:val="0"/>
        <w:jc w:val="both"/>
        <w:rPr>
          <w:rFonts w:ascii="Arial" w:eastAsia="ArialNarrow" w:hAnsi="Arial" w:cs="Arial"/>
          <w:sz w:val="22"/>
          <w:szCs w:val="22"/>
          <w:shd w:val="clear" w:color="auto" w:fill="FFFF00"/>
          <w:lang w:val="ru-RU"/>
        </w:rPr>
      </w:pPr>
    </w:p>
    <w:p w14:paraId="5E7E46E7" w14:textId="088373AA" w:rsidR="00133A10" w:rsidRDefault="00CD7FDA" w:rsidP="00133A10">
      <w:pPr>
        <w:pStyle w:val="Standard"/>
        <w:autoSpaceDE w:val="0"/>
        <w:jc w:val="both"/>
        <w:rPr>
          <w:rFonts w:ascii="Arial" w:hAnsi="Arial" w:cs="Arial"/>
          <w:b/>
          <w:bCs/>
          <w:sz w:val="22"/>
          <w:szCs w:val="22"/>
          <w:lang w:val="ru-RU"/>
        </w:rPr>
      </w:pPr>
      <w:r>
        <w:rPr>
          <w:rFonts w:ascii="Arial" w:hAnsi="Arial" w:cs="Arial"/>
          <w:b/>
          <w:bCs/>
          <w:sz w:val="22"/>
          <w:szCs w:val="22"/>
          <w:lang w:val="ru-RU"/>
        </w:rPr>
        <w:t>О</w:t>
      </w:r>
      <w:r w:rsidRPr="00133A10">
        <w:rPr>
          <w:rFonts w:ascii="Arial" w:hAnsi="Arial" w:cs="Arial"/>
          <w:b/>
          <w:bCs/>
          <w:sz w:val="22"/>
          <w:szCs w:val="22"/>
          <w:lang w:val="ru-RU"/>
        </w:rPr>
        <w:t>пшти циљев</w:t>
      </w:r>
      <w:r>
        <w:rPr>
          <w:rFonts w:ascii="Arial" w:hAnsi="Arial" w:cs="Arial"/>
          <w:b/>
          <w:bCs/>
          <w:sz w:val="22"/>
          <w:szCs w:val="22"/>
          <w:lang w:val="ru-RU"/>
        </w:rPr>
        <w:t>и</w:t>
      </w:r>
      <w:r w:rsidRPr="00133A10">
        <w:rPr>
          <w:rFonts w:ascii="Arial" w:hAnsi="Arial" w:cs="Arial"/>
          <w:sz w:val="22"/>
          <w:szCs w:val="22"/>
          <w:lang w:val="ru-RU"/>
        </w:rPr>
        <w:t xml:space="preserve"> </w:t>
      </w:r>
      <w:r w:rsidRPr="00CD7FDA">
        <w:rPr>
          <w:rFonts w:ascii="Arial" w:hAnsi="Arial" w:cs="Arial"/>
          <w:b/>
          <w:bCs/>
          <w:sz w:val="22"/>
          <w:szCs w:val="22"/>
          <w:lang w:val="ru-RU"/>
        </w:rPr>
        <w:t>развоја, уређења и заштите подручја града Бора</w:t>
      </w:r>
    </w:p>
    <w:p w14:paraId="2CACDD3A" w14:textId="77777777" w:rsidR="00CD7FDA" w:rsidRPr="00133A10" w:rsidRDefault="00CD7FDA" w:rsidP="00133A10">
      <w:pPr>
        <w:pStyle w:val="Standard"/>
        <w:autoSpaceDE w:val="0"/>
        <w:jc w:val="both"/>
        <w:rPr>
          <w:rFonts w:ascii="Arial" w:hAnsi="Arial" w:cs="Arial"/>
          <w:sz w:val="22"/>
          <w:szCs w:val="22"/>
          <w:lang w:val="ru-RU"/>
        </w:rPr>
      </w:pPr>
    </w:p>
    <w:p w14:paraId="2D72EBAE" w14:textId="77777777" w:rsidR="00133A10" w:rsidRPr="00CD7FDA" w:rsidRDefault="00133A10" w:rsidP="00CD7FDA">
      <w:pPr>
        <w:pStyle w:val="Standard"/>
        <w:ind w:firstLine="708"/>
        <w:jc w:val="both"/>
        <w:rPr>
          <w:rFonts w:ascii="Arial" w:hAnsi="Arial" w:cs="Arial"/>
          <w:sz w:val="22"/>
          <w:szCs w:val="22"/>
          <w:lang w:val="ru-RU"/>
        </w:rPr>
      </w:pPr>
      <w:r w:rsidRPr="00CD7FDA">
        <w:rPr>
          <w:rFonts w:ascii="Arial" w:hAnsi="Arial" w:cs="Arial"/>
          <w:sz w:val="22"/>
          <w:szCs w:val="22"/>
          <w:lang w:val="ru-RU"/>
        </w:rPr>
        <w:t>Неки од општих циљева развоја, уређења и заштите подручја града Бора јесу:</w:t>
      </w:r>
    </w:p>
    <w:p w14:paraId="2CC82AEF" w14:textId="77777777" w:rsidR="00133A10" w:rsidRPr="00133A10" w:rsidRDefault="00133A10" w:rsidP="00133A10">
      <w:pPr>
        <w:pStyle w:val="Standard"/>
        <w:jc w:val="both"/>
        <w:rPr>
          <w:rFonts w:ascii="Arial" w:hAnsi="Arial" w:cs="Arial"/>
          <w:sz w:val="22"/>
          <w:szCs w:val="22"/>
          <w:lang w:val="ru-RU"/>
        </w:rPr>
      </w:pPr>
      <w:r w:rsidRPr="00133A10">
        <w:rPr>
          <w:rFonts w:ascii="Arial" w:hAnsi="Arial" w:cs="Arial"/>
          <w:sz w:val="22"/>
          <w:szCs w:val="22"/>
          <w:lang w:val="ru-RU"/>
        </w:rPr>
        <w:t>- функционално интегрисање града са окружењем кроз бољу саобраћајну, информациону, економску и културну повезаност и сарадњу;</w:t>
      </w:r>
    </w:p>
    <w:p w14:paraId="1623D98F" w14:textId="77777777" w:rsidR="00133A10" w:rsidRPr="00133A10" w:rsidRDefault="00133A10" w:rsidP="00133A10">
      <w:pPr>
        <w:pStyle w:val="Standard"/>
        <w:jc w:val="both"/>
        <w:rPr>
          <w:rFonts w:ascii="Arial" w:hAnsi="Arial" w:cs="Arial"/>
          <w:sz w:val="22"/>
          <w:szCs w:val="22"/>
          <w:lang w:val="ru-RU"/>
        </w:rPr>
      </w:pPr>
      <w:r w:rsidRPr="00133A10">
        <w:rPr>
          <w:rFonts w:ascii="Arial" w:hAnsi="Arial" w:cs="Arial"/>
          <w:sz w:val="22"/>
          <w:szCs w:val="22"/>
          <w:lang w:val="ru-RU"/>
        </w:rPr>
        <w:t>- обезбеђење веће интегрисаности подручја и повећање мобилности фактора производње и развоја рационалним инфраструктурним повезивањем мреже насеља, реконструкцијом и побољшањем функционисања постојећих инфраструктурних система и мреже јавних служби; приоритетно просторн</w:t>
      </w:r>
      <w:r w:rsidRPr="00133A10">
        <w:rPr>
          <w:rFonts w:ascii="Arial" w:hAnsi="Arial" w:cs="Arial"/>
          <w:sz w:val="22"/>
          <w:szCs w:val="22"/>
        </w:rPr>
        <w:t>o</w:t>
      </w:r>
      <w:r w:rsidRPr="00133A10">
        <w:rPr>
          <w:rFonts w:ascii="Arial" w:hAnsi="Arial" w:cs="Arial"/>
          <w:sz w:val="22"/>
          <w:szCs w:val="22"/>
          <w:lang w:val="ru-RU"/>
        </w:rPr>
        <w:t xml:space="preserve"> интегрисање рударско-металуршког комплекса са осталим деловима привреде и минимизирање његових негативних ефеката на окружење;</w:t>
      </w:r>
    </w:p>
    <w:p w14:paraId="785E0868" w14:textId="77777777" w:rsidR="00133A10" w:rsidRPr="00133A10" w:rsidRDefault="00133A10" w:rsidP="00133A10">
      <w:pPr>
        <w:pStyle w:val="Standard"/>
        <w:jc w:val="both"/>
        <w:rPr>
          <w:rFonts w:ascii="Arial" w:hAnsi="Arial" w:cs="Arial"/>
          <w:sz w:val="22"/>
          <w:szCs w:val="22"/>
          <w:lang w:val="ru-RU"/>
        </w:rPr>
      </w:pPr>
      <w:r w:rsidRPr="00133A10">
        <w:rPr>
          <w:rFonts w:ascii="Arial" w:hAnsi="Arial" w:cs="Arial"/>
          <w:sz w:val="22"/>
          <w:szCs w:val="22"/>
          <w:lang w:val="ru-RU"/>
        </w:rPr>
        <w:t xml:space="preserve">- заустављање даље деградације животне средине, угрожавања и уништавања природних и туристичких ресурса, природних и културних добара, сузбијање раубовања и ненаменског коришћења простора и непланске изградње, нарочито </w:t>
      </w:r>
      <w:r w:rsidRPr="00133A10">
        <w:rPr>
          <w:rFonts w:ascii="Arial" w:hAnsi="Arial" w:cs="Arial"/>
          <w:sz w:val="22"/>
          <w:szCs w:val="22"/>
          <w:lang w:val="ru-RU"/>
        </w:rPr>
        <w:lastRenderedPageBreak/>
        <w:t>ревитализацијом угрожених подручја;</w:t>
      </w:r>
    </w:p>
    <w:p w14:paraId="4A75663B" w14:textId="77777777" w:rsidR="00133A10" w:rsidRPr="00133A10" w:rsidRDefault="00133A10" w:rsidP="00133A10">
      <w:pPr>
        <w:pStyle w:val="Standard"/>
        <w:jc w:val="both"/>
        <w:rPr>
          <w:rFonts w:ascii="Arial" w:hAnsi="Arial" w:cs="Arial"/>
          <w:sz w:val="22"/>
          <w:szCs w:val="22"/>
          <w:lang w:val="ru-RU"/>
        </w:rPr>
      </w:pPr>
      <w:r w:rsidRPr="00133A10">
        <w:rPr>
          <w:rFonts w:ascii="Arial" w:hAnsi="Arial" w:cs="Arial"/>
          <w:sz w:val="22"/>
          <w:szCs w:val="22"/>
          <w:lang w:val="ru-RU"/>
        </w:rPr>
        <w:t>- диверзификација привреде града, уз иницирање нових производних програма, у складу са ресурсима и тржишним условима, оснивањем МСП и привлачењем страних улагања, уз равномернији развој привредних и других активности у складу са предностима појединих делова града;</w:t>
      </w:r>
    </w:p>
    <w:p w14:paraId="14DFC75E" w14:textId="77777777" w:rsidR="00133A10" w:rsidRPr="00133A10" w:rsidRDefault="00133A10" w:rsidP="00133A10">
      <w:pPr>
        <w:pStyle w:val="Standard"/>
        <w:jc w:val="both"/>
        <w:rPr>
          <w:rFonts w:ascii="Arial" w:hAnsi="Arial" w:cs="Arial"/>
          <w:sz w:val="22"/>
          <w:szCs w:val="22"/>
          <w:lang w:val="ru-RU"/>
        </w:rPr>
      </w:pPr>
      <w:r w:rsidRPr="00133A10">
        <w:rPr>
          <w:rFonts w:ascii="Arial" w:hAnsi="Arial" w:cs="Arial"/>
          <w:sz w:val="22"/>
          <w:szCs w:val="22"/>
          <w:lang w:val="ru-RU"/>
        </w:rPr>
        <w:t>- успоравање процеса концентрације становништва и активности у градском центру, уз стварање услова за демографску обнову руралног дела града, унапређењем квалитета живота и инвестирањем у развој социјалних и привредних функција.</w:t>
      </w:r>
    </w:p>
    <w:p w14:paraId="02A71508" w14:textId="77777777" w:rsidR="00133A10" w:rsidRDefault="00133A10" w:rsidP="00133A10">
      <w:pPr>
        <w:pStyle w:val="Standard"/>
        <w:ind w:firstLine="708"/>
        <w:jc w:val="both"/>
        <w:rPr>
          <w:rFonts w:ascii="Arial" w:hAnsi="Arial" w:cs="Arial"/>
          <w:sz w:val="22"/>
          <w:szCs w:val="22"/>
          <w:lang w:val="sr-Latn-RS"/>
        </w:rPr>
      </w:pPr>
      <w:r w:rsidRPr="00133A10">
        <w:rPr>
          <w:rFonts w:ascii="Arial" w:hAnsi="Arial" w:cs="Arial"/>
          <w:sz w:val="22"/>
          <w:szCs w:val="22"/>
          <w:lang w:val="ru-RU"/>
        </w:rPr>
        <w:t>Геодетску подлогу за израду плана обезбеђује инвеститор. Уколико је потребна допуна (проширење) геодетске подлоге због другачијег предлога трасе датог од стране обраћивача, у том случају обрађувач ће бити у обавези да изврши допуну геодетске подлоге недостајућим делом. Обавеза обрађивача је израда идејног решења планиране саобраћајнице.</w:t>
      </w:r>
    </w:p>
    <w:p w14:paraId="2FD64E7C" w14:textId="60113B33" w:rsidR="007978C9" w:rsidRPr="007978C9" w:rsidRDefault="007978C9" w:rsidP="00133A10">
      <w:pPr>
        <w:pStyle w:val="Standard"/>
        <w:ind w:firstLine="708"/>
        <w:jc w:val="both"/>
        <w:rPr>
          <w:rFonts w:ascii="Arial" w:hAnsi="Arial" w:cs="Arial"/>
          <w:sz w:val="22"/>
          <w:szCs w:val="22"/>
          <w:lang w:val="sr-Latn-RS"/>
        </w:rPr>
      </w:pPr>
      <w:r>
        <w:rPr>
          <w:rFonts w:ascii="Arial" w:hAnsi="Arial" w:cs="Arial"/>
          <w:sz w:val="22"/>
          <w:szCs w:val="22"/>
          <w:lang w:val="sr-Cyrl-RS"/>
        </w:rPr>
        <w:t xml:space="preserve">Обавеза обрађивача је да план у дигиталном облику достави наручиоцу и у „живој“ форми и то и у </w:t>
      </w:r>
      <w:r>
        <w:rPr>
          <w:rFonts w:ascii="Arial" w:hAnsi="Arial" w:cs="Arial"/>
          <w:sz w:val="22"/>
          <w:szCs w:val="22"/>
          <w:lang w:val="sr-Latn-RS"/>
        </w:rPr>
        <w:t xml:space="preserve">CAD-u </w:t>
      </w:r>
      <w:r>
        <w:rPr>
          <w:rFonts w:ascii="Arial" w:hAnsi="Arial" w:cs="Arial"/>
          <w:sz w:val="22"/>
          <w:szCs w:val="22"/>
          <w:lang w:val="sr-Cyrl-RS"/>
        </w:rPr>
        <w:t xml:space="preserve">и у </w:t>
      </w:r>
      <w:r>
        <w:rPr>
          <w:rFonts w:ascii="Arial" w:hAnsi="Arial" w:cs="Arial"/>
          <w:sz w:val="22"/>
          <w:szCs w:val="22"/>
          <w:lang w:val="sr-Latn-RS"/>
        </w:rPr>
        <w:t>DIS-u.</w:t>
      </w:r>
    </w:p>
    <w:p w14:paraId="0DB438A8" w14:textId="77777777" w:rsidR="00CD7FDA" w:rsidRDefault="00CD7FDA" w:rsidP="00133A10">
      <w:pPr>
        <w:pStyle w:val="Standard"/>
        <w:ind w:firstLine="708"/>
        <w:jc w:val="both"/>
        <w:rPr>
          <w:rFonts w:ascii="Arial" w:hAnsi="Arial" w:cs="Arial"/>
          <w:sz w:val="22"/>
          <w:szCs w:val="22"/>
          <w:lang w:val="ru-RU"/>
        </w:rPr>
      </w:pPr>
    </w:p>
    <w:p w14:paraId="09AF1477" w14:textId="2EAA2885" w:rsidR="00CD7FDA" w:rsidRPr="00CD7FDA" w:rsidRDefault="00CD7FDA" w:rsidP="00CD7FDA">
      <w:pPr>
        <w:pStyle w:val="Standard"/>
        <w:jc w:val="both"/>
        <w:rPr>
          <w:rFonts w:ascii="Arial" w:hAnsi="Arial" w:cs="Arial"/>
          <w:sz w:val="22"/>
          <w:szCs w:val="22"/>
          <w:lang w:val="ru-RU"/>
        </w:rPr>
      </w:pPr>
      <w:r w:rsidRPr="00CD7FDA">
        <w:rPr>
          <w:rFonts w:ascii="Arial" w:hAnsi="Arial" w:cs="Arial"/>
          <w:b/>
          <w:bCs/>
          <w:sz w:val="22"/>
          <w:szCs w:val="22"/>
          <w:lang w:val="ru-RU"/>
        </w:rPr>
        <w:t xml:space="preserve">Циљеви израде плана </w:t>
      </w:r>
    </w:p>
    <w:p w14:paraId="5EDE7DDD" w14:textId="77777777" w:rsidR="00133A10" w:rsidRPr="00CD7FDA" w:rsidRDefault="00133A10" w:rsidP="00133A10">
      <w:pPr>
        <w:pStyle w:val="Standard"/>
        <w:jc w:val="both"/>
        <w:rPr>
          <w:rFonts w:ascii="Arial" w:hAnsi="Arial" w:cs="Arial"/>
          <w:sz w:val="22"/>
          <w:szCs w:val="22"/>
          <w:lang w:val="ru-RU"/>
        </w:rPr>
      </w:pPr>
    </w:p>
    <w:p w14:paraId="188F7CB4" w14:textId="77777777" w:rsidR="00133A10" w:rsidRPr="00133A10" w:rsidRDefault="00133A10" w:rsidP="00133A10">
      <w:pPr>
        <w:pStyle w:val="Standard"/>
        <w:ind w:firstLine="708"/>
        <w:jc w:val="both"/>
        <w:rPr>
          <w:rFonts w:ascii="Arial" w:hAnsi="Arial" w:cs="Arial"/>
          <w:sz w:val="22"/>
          <w:szCs w:val="22"/>
          <w:lang w:val="ru-RU"/>
        </w:rPr>
      </w:pPr>
      <w:r w:rsidRPr="00CD7FDA">
        <w:rPr>
          <w:rFonts w:ascii="Arial" w:hAnsi="Arial" w:cs="Arial"/>
          <w:sz w:val="22"/>
          <w:szCs w:val="22"/>
          <w:lang w:val="ru-RU"/>
        </w:rPr>
        <w:t>Циљеви израде плана су:</w:t>
      </w:r>
      <w:r w:rsidRPr="00133A10">
        <w:rPr>
          <w:rFonts w:ascii="Arial" w:hAnsi="Arial" w:cs="Arial"/>
          <w:sz w:val="22"/>
          <w:szCs w:val="22"/>
          <w:lang w:val="ru-RU"/>
        </w:rPr>
        <w:t xml:space="preserve"> саобраћајно повезивање централног дела градског насеља са дислоцираним делом градског насеља локалном путном инфрасртруктуром, саобраћајно растерећења државног пута, смањење аерозагађења и генерално побољшање стања животне средине услед мање емисије издувних гасова настале због смањеног растојања измењу два дела градског насеља.</w:t>
      </w:r>
    </w:p>
    <w:p w14:paraId="18A71F10" w14:textId="77777777" w:rsidR="00133A10" w:rsidRPr="007978C9" w:rsidRDefault="00133A10" w:rsidP="00CD7FDA">
      <w:pPr>
        <w:pStyle w:val="Standard"/>
        <w:ind w:firstLine="708"/>
        <w:jc w:val="both"/>
        <w:rPr>
          <w:rFonts w:ascii="Arial" w:hAnsi="Arial" w:cs="Arial"/>
          <w:sz w:val="22"/>
          <w:szCs w:val="22"/>
          <w:lang w:val="ru-RU"/>
        </w:rPr>
      </w:pPr>
      <w:r w:rsidRPr="007978C9">
        <w:rPr>
          <w:rFonts w:ascii="Arial" w:hAnsi="Arial" w:cs="Arial"/>
          <w:sz w:val="22"/>
          <w:szCs w:val="22"/>
          <w:lang w:val="ru-RU"/>
        </w:rPr>
        <w:t>Принципи планирања, коришћења, уређења и заштите простора у обухвату Плана засниваће се на принципима рационалне организације и уређења простора и усклађивању планираних садржаја са могућностима  и ограничењима у простору.</w:t>
      </w:r>
    </w:p>
    <w:p w14:paraId="0D303FDE" w14:textId="77777777" w:rsidR="00133A10" w:rsidRPr="007978C9" w:rsidRDefault="00133A10" w:rsidP="00133A10">
      <w:pPr>
        <w:pStyle w:val="Standard"/>
        <w:jc w:val="both"/>
        <w:rPr>
          <w:rFonts w:ascii="Arial" w:hAnsi="Arial" w:cs="Arial"/>
          <w:sz w:val="22"/>
          <w:szCs w:val="22"/>
          <w:lang w:val="ru-RU"/>
        </w:rPr>
      </w:pPr>
      <w:r w:rsidRPr="007978C9">
        <w:rPr>
          <w:rFonts w:ascii="Arial" w:hAnsi="Arial" w:cs="Arial"/>
          <w:sz w:val="22"/>
          <w:szCs w:val="22"/>
          <w:lang w:val="ru-RU"/>
        </w:rPr>
        <w:t>Плански основ за израду овог Плана садржан је у Просторном плану општине Бор, Генералном урбанистичком плану Бора.</w:t>
      </w:r>
    </w:p>
    <w:p w14:paraId="245A1E8F" w14:textId="77777777" w:rsidR="00133A10" w:rsidRPr="00133A10" w:rsidRDefault="00133A10" w:rsidP="00CD7FDA">
      <w:pPr>
        <w:pStyle w:val="Standard"/>
        <w:ind w:firstLine="708"/>
        <w:jc w:val="both"/>
        <w:rPr>
          <w:rFonts w:ascii="Arial" w:hAnsi="Arial" w:cs="Arial"/>
          <w:sz w:val="22"/>
          <w:szCs w:val="22"/>
          <w:lang w:val="ru-RU"/>
        </w:rPr>
      </w:pPr>
      <w:r w:rsidRPr="007978C9">
        <w:rPr>
          <w:rFonts w:ascii="Arial" w:hAnsi="Arial" w:cs="Arial"/>
          <w:sz w:val="22"/>
          <w:szCs w:val="22"/>
          <w:lang w:val="ru-RU"/>
        </w:rPr>
        <w:t xml:space="preserve">Правни основ за израду овог Плана представља Одлука о изради Плана детаљне регулације </w:t>
      </w:r>
      <w:r w:rsidRPr="00133A10">
        <w:rPr>
          <w:rFonts w:ascii="Arial" w:hAnsi="Arial" w:cs="Arial"/>
          <w:sz w:val="22"/>
          <w:szCs w:val="22"/>
          <w:lang w:val="ru-RU"/>
        </w:rPr>
        <w:t>пута Бор 2 – Бањско поље</w:t>
      </w:r>
      <w:r w:rsidRPr="007978C9">
        <w:rPr>
          <w:rFonts w:ascii="Arial" w:hAnsi="Arial" w:cs="Arial"/>
          <w:sz w:val="22"/>
          <w:szCs w:val="22"/>
          <w:lang w:val="ru-RU"/>
        </w:rPr>
        <w:t xml:space="preserve"> („Сл. лист града Бора“, број 4</w:t>
      </w:r>
      <w:r w:rsidRPr="00133A10">
        <w:rPr>
          <w:rFonts w:ascii="Arial" w:hAnsi="Arial" w:cs="Arial"/>
          <w:sz w:val="22"/>
          <w:szCs w:val="22"/>
          <w:lang w:val="ru-RU"/>
        </w:rPr>
        <w:t>5</w:t>
      </w:r>
      <w:r w:rsidRPr="007978C9">
        <w:rPr>
          <w:rFonts w:ascii="Arial" w:hAnsi="Arial" w:cs="Arial"/>
          <w:sz w:val="22"/>
          <w:szCs w:val="22"/>
          <w:lang w:val="ru-RU"/>
        </w:rPr>
        <w:t>/202</w:t>
      </w:r>
      <w:r w:rsidRPr="00133A10">
        <w:rPr>
          <w:rFonts w:ascii="Arial" w:hAnsi="Arial" w:cs="Arial"/>
          <w:sz w:val="22"/>
          <w:szCs w:val="22"/>
          <w:lang w:val="ru-RU"/>
        </w:rPr>
        <w:t>4</w:t>
      </w:r>
      <w:r w:rsidRPr="007978C9">
        <w:rPr>
          <w:rFonts w:ascii="Arial" w:hAnsi="Arial" w:cs="Arial"/>
          <w:sz w:val="22"/>
          <w:szCs w:val="22"/>
          <w:lang w:val="ru-RU"/>
        </w:rPr>
        <w:t>). Обавеза обрађивача Плана је да исти уради у свему у складу са наведеном одлуком о изради плана.</w:t>
      </w:r>
      <w:r w:rsidRPr="00133A10">
        <w:rPr>
          <w:rFonts w:ascii="Arial" w:hAnsi="Arial" w:cs="Arial"/>
          <w:sz w:val="22"/>
          <w:szCs w:val="22"/>
          <w:lang w:val="ru-RU"/>
        </w:rPr>
        <w:t xml:space="preserve"> </w:t>
      </w:r>
    </w:p>
    <w:p w14:paraId="46D3F97D" w14:textId="305326AC" w:rsidR="00133A10" w:rsidRDefault="00133A10" w:rsidP="00CD7FDA">
      <w:pPr>
        <w:pStyle w:val="Standard"/>
        <w:ind w:firstLine="708"/>
        <w:jc w:val="both"/>
        <w:rPr>
          <w:rFonts w:ascii="Arial" w:hAnsi="Arial" w:cs="Arial"/>
          <w:sz w:val="22"/>
          <w:szCs w:val="22"/>
          <w:lang w:val="ru-RU"/>
        </w:rPr>
      </w:pPr>
      <w:r w:rsidRPr="00133A10">
        <w:rPr>
          <w:rFonts w:ascii="Arial" w:hAnsi="Arial" w:cs="Arial"/>
          <w:sz w:val="22"/>
          <w:szCs w:val="22"/>
          <w:lang w:val="ru-RU"/>
        </w:rPr>
        <w:t xml:space="preserve">План обавезно садржи геотехничке карактеристике обухваћеног простора. </w:t>
      </w:r>
    </w:p>
    <w:p w14:paraId="1B98A3EA" w14:textId="3A976388" w:rsidR="00CD7FDA" w:rsidRPr="00133A10" w:rsidRDefault="00CD7FDA" w:rsidP="00CD7FDA">
      <w:pPr>
        <w:pStyle w:val="Standard"/>
        <w:jc w:val="both"/>
        <w:rPr>
          <w:rFonts w:ascii="Arial" w:hAnsi="Arial" w:cs="Arial"/>
          <w:sz w:val="22"/>
          <w:szCs w:val="22"/>
          <w:lang w:val="ru-RU"/>
        </w:rPr>
      </w:pPr>
      <w:r>
        <w:rPr>
          <w:rFonts w:ascii="Arial" w:hAnsi="Arial" w:cs="Arial"/>
          <w:sz w:val="22"/>
          <w:szCs w:val="22"/>
          <w:lang w:val="ru-RU"/>
        </w:rPr>
        <w:t xml:space="preserve">            </w:t>
      </w:r>
      <w:r w:rsidRPr="00133A10">
        <w:rPr>
          <w:rFonts w:ascii="Arial" w:hAnsi="Arial" w:cs="Arial"/>
          <w:sz w:val="22"/>
          <w:szCs w:val="22"/>
          <w:lang w:val="ru-RU"/>
        </w:rPr>
        <w:t>План се доставља на начин предвиђен одлуком о изради плана.</w:t>
      </w:r>
    </w:p>
    <w:p w14:paraId="49D4F68A" w14:textId="77777777" w:rsidR="00CD7FDA" w:rsidRPr="00133A10" w:rsidRDefault="00CD7FDA" w:rsidP="00CD7FDA">
      <w:pPr>
        <w:pStyle w:val="Standard"/>
        <w:jc w:val="both"/>
        <w:rPr>
          <w:rFonts w:ascii="Arial" w:eastAsia="TimesNewRomanPSMT" w:hAnsi="Arial" w:cs="Arial"/>
          <w:sz w:val="22"/>
          <w:szCs w:val="22"/>
          <w:lang w:val="ru-RU"/>
        </w:rPr>
      </w:pPr>
    </w:p>
    <w:p w14:paraId="71F4D1AA" w14:textId="77777777" w:rsidR="00133A10" w:rsidRPr="00133A10" w:rsidRDefault="00133A10" w:rsidP="00133A10">
      <w:pPr>
        <w:pStyle w:val="Standard"/>
        <w:jc w:val="both"/>
        <w:rPr>
          <w:rFonts w:ascii="Arial" w:hAnsi="Arial" w:cs="Arial"/>
          <w:b/>
          <w:bCs/>
          <w:sz w:val="22"/>
          <w:szCs w:val="22"/>
          <w:lang w:val="ru-RU"/>
        </w:rPr>
      </w:pPr>
      <w:r w:rsidRPr="00133A10">
        <w:rPr>
          <w:rFonts w:ascii="Arial" w:hAnsi="Arial" w:cs="Arial"/>
          <w:b/>
          <w:bCs/>
          <w:sz w:val="22"/>
          <w:szCs w:val="22"/>
          <w:lang w:val="ru-RU"/>
        </w:rPr>
        <w:t>Рокови</w:t>
      </w:r>
    </w:p>
    <w:p w14:paraId="581C4B76" w14:textId="77777777" w:rsidR="00133A10" w:rsidRPr="00133A10" w:rsidRDefault="00133A10" w:rsidP="00133A10">
      <w:pPr>
        <w:pStyle w:val="Standard"/>
        <w:jc w:val="both"/>
        <w:rPr>
          <w:rFonts w:ascii="Arial" w:hAnsi="Arial" w:cs="Arial"/>
          <w:sz w:val="22"/>
          <w:szCs w:val="22"/>
          <w:lang w:val="ru-RU"/>
        </w:rPr>
      </w:pPr>
    </w:p>
    <w:p w14:paraId="5087CC80" w14:textId="77777777" w:rsidR="00133A10" w:rsidRPr="00133A10" w:rsidRDefault="00133A10" w:rsidP="00CD7FDA">
      <w:pPr>
        <w:pStyle w:val="Standard"/>
        <w:ind w:firstLine="708"/>
        <w:jc w:val="both"/>
        <w:rPr>
          <w:rFonts w:ascii="Arial" w:hAnsi="Arial" w:cs="Arial"/>
          <w:sz w:val="22"/>
          <w:szCs w:val="22"/>
          <w:lang w:val="ru-RU"/>
        </w:rPr>
      </w:pPr>
      <w:r w:rsidRPr="00133A10">
        <w:rPr>
          <w:rFonts w:ascii="Arial" w:hAnsi="Arial" w:cs="Arial"/>
          <w:sz w:val="22"/>
          <w:szCs w:val="22"/>
          <w:lang w:val="ru-RU"/>
        </w:rPr>
        <w:t xml:space="preserve">Достава материјала за рани јавни увид: </w:t>
      </w:r>
      <w:r w:rsidRPr="00133A10">
        <w:rPr>
          <w:rFonts w:ascii="Arial" w:hAnsi="Arial" w:cs="Arial"/>
          <w:b/>
          <w:bCs/>
          <w:sz w:val="22"/>
          <w:szCs w:val="22"/>
          <w:lang w:val="ru-RU"/>
        </w:rPr>
        <w:t>20</w:t>
      </w:r>
      <w:r w:rsidRPr="00133A10">
        <w:rPr>
          <w:rFonts w:ascii="Arial" w:hAnsi="Arial" w:cs="Arial"/>
          <w:sz w:val="22"/>
          <w:szCs w:val="22"/>
          <w:lang w:val="ru-RU"/>
        </w:rPr>
        <w:t xml:space="preserve"> дана од дана обостраног потписивиња уговора.</w:t>
      </w:r>
    </w:p>
    <w:p w14:paraId="698673FD" w14:textId="77777777" w:rsidR="00133A10" w:rsidRPr="00133A10" w:rsidRDefault="00133A10" w:rsidP="00CD7FDA">
      <w:pPr>
        <w:pStyle w:val="Standard"/>
        <w:ind w:firstLine="708"/>
        <w:rPr>
          <w:rFonts w:ascii="Arial" w:hAnsi="Arial" w:cs="Arial"/>
          <w:sz w:val="22"/>
          <w:szCs w:val="22"/>
          <w:lang w:val="ru-RU"/>
        </w:rPr>
      </w:pPr>
      <w:r w:rsidRPr="00133A10">
        <w:rPr>
          <w:rFonts w:ascii="Arial" w:hAnsi="Arial" w:cs="Arial"/>
          <w:sz w:val="22"/>
          <w:szCs w:val="22"/>
          <w:lang w:val="ru-RU"/>
        </w:rPr>
        <w:t xml:space="preserve">Студијско-аналитичка основа и  нацрт Плана за </w:t>
      </w:r>
      <w:r w:rsidRPr="00133A10">
        <w:rPr>
          <w:rFonts w:ascii="Arial" w:hAnsi="Arial" w:cs="Arial"/>
          <w:b/>
          <w:bCs/>
          <w:sz w:val="22"/>
          <w:szCs w:val="22"/>
          <w:lang w:val="ru-RU"/>
        </w:rPr>
        <w:t>150</w:t>
      </w:r>
      <w:r w:rsidRPr="00133A10">
        <w:rPr>
          <w:rFonts w:ascii="Arial" w:hAnsi="Arial" w:cs="Arial"/>
          <w:sz w:val="22"/>
          <w:szCs w:val="22"/>
          <w:lang w:val="ru-RU"/>
        </w:rPr>
        <w:t xml:space="preserve"> дана од завршетка раног јавног увида, односно од дана достављања извештаја комисије за планове обрађивачу.</w:t>
      </w:r>
    </w:p>
    <w:p w14:paraId="661C971C" w14:textId="77777777" w:rsidR="00133A10" w:rsidRPr="00133A10" w:rsidRDefault="00133A10" w:rsidP="00CD7FDA">
      <w:pPr>
        <w:pStyle w:val="Standard"/>
        <w:ind w:firstLine="708"/>
        <w:jc w:val="both"/>
        <w:rPr>
          <w:rFonts w:ascii="Arial" w:hAnsi="Arial" w:cs="Arial"/>
          <w:sz w:val="22"/>
          <w:szCs w:val="22"/>
          <w:lang w:val="ru-RU"/>
        </w:rPr>
      </w:pPr>
      <w:r w:rsidRPr="00133A10">
        <w:rPr>
          <w:rFonts w:ascii="Arial" w:hAnsi="Arial" w:cs="Arial"/>
          <w:sz w:val="22"/>
          <w:szCs w:val="22"/>
          <w:lang w:val="ru-RU"/>
        </w:rPr>
        <w:t xml:space="preserve">Поступање по извештају о обављеној стручној контроли: не дуже од </w:t>
      </w:r>
      <w:r w:rsidRPr="00133A10">
        <w:rPr>
          <w:rFonts w:ascii="Arial" w:hAnsi="Arial" w:cs="Arial"/>
          <w:b/>
          <w:bCs/>
          <w:sz w:val="22"/>
          <w:szCs w:val="22"/>
          <w:lang w:val="ru-RU"/>
        </w:rPr>
        <w:t>20</w:t>
      </w:r>
      <w:r w:rsidRPr="00133A10">
        <w:rPr>
          <w:rFonts w:ascii="Arial" w:hAnsi="Arial" w:cs="Arial"/>
          <w:sz w:val="22"/>
          <w:szCs w:val="22"/>
          <w:lang w:val="ru-RU"/>
        </w:rPr>
        <w:t xml:space="preserve"> дана од пријема извештаја о обављеној стручној контроли.</w:t>
      </w:r>
    </w:p>
    <w:p w14:paraId="71DE0415" w14:textId="77777777" w:rsidR="00133A10" w:rsidRPr="00133A10" w:rsidRDefault="00133A10" w:rsidP="00CD7FDA">
      <w:pPr>
        <w:pStyle w:val="Standard"/>
        <w:ind w:firstLine="708"/>
        <w:jc w:val="both"/>
        <w:rPr>
          <w:rFonts w:ascii="Arial" w:hAnsi="Arial" w:cs="Arial"/>
          <w:sz w:val="22"/>
          <w:szCs w:val="22"/>
          <w:lang w:val="ru-RU"/>
        </w:rPr>
      </w:pPr>
      <w:r w:rsidRPr="00133A10">
        <w:rPr>
          <w:rFonts w:ascii="Arial" w:hAnsi="Arial" w:cs="Arial"/>
          <w:sz w:val="22"/>
          <w:szCs w:val="22"/>
          <w:lang w:val="ru-RU"/>
        </w:rPr>
        <w:t xml:space="preserve">Поступање по извештају о обављеном јавном увиду и отклањање недостатака у односу на стављене примедбе – израда предлога Плана: највише </w:t>
      </w:r>
      <w:r w:rsidRPr="00133A10">
        <w:rPr>
          <w:rFonts w:ascii="Arial" w:hAnsi="Arial" w:cs="Arial"/>
          <w:b/>
          <w:bCs/>
          <w:sz w:val="22"/>
          <w:szCs w:val="22"/>
          <w:lang w:val="ru-RU"/>
        </w:rPr>
        <w:t>30</w:t>
      </w:r>
      <w:r w:rsidRPr="00133A10">
        <w:rPr>
          <w:rFonts w:ascii="Arial" w:hAnsi="Arial" w:cs="Arial"/>
          <w:sz w:val="22"/>
          <w:szCs w:val="22"/>
          <w:lang w:val="ru-RU"/>
        </w:rPr>
        <w:t xml:space="preserve"> дана од дана пријема извештаја о обављеном јавном увиду.</w:t>
      </w:r>
    </w:p>
    <w:p w14:paraId="6D4F7D95" w14:textId="77777777" w:rsidR="00133A10" w:rsidRPr="00133A10" w:rsidRDefault="00133A10" w:rsidP="00CD7FDA">
      <w:pPr>
        <w:pStyle w:val="Standard"/>
        <w:ind w:firstLine="708"/>
        <w:jc w:val="both"/>
        <w:rPr>
          <w:rFonts w:ascii="Arial" w:hAnsi="Arial" w:cs="Arial"/>
          <w:sz w:val="22"/>
          <w:szCs w:val="22"/>
          <w:lang w:val="ru-RU"/>
        </w:rPr>
      </w:pPr>
      <w:r w:rsidRPr="00133A10">
        <w:rPr>
          <w:rFonts w:ascii="Arial" w:hAnsi="Arial" w:cs="Arial"/>
          <w:sz w:val="22"/>
          <w:szCs w:val="22"/>
          <w:lang w:val="ru-RU"/>
        </w:rPr>
        <w:t xml:space="preserve">Израда финалног документа: највише </w:t>
      </w:r>
      <w:r w:rsidRPr="00133A10">
        <w:rPr>
          <w:rFonts w:ascii="Arial" w:hAnsi="Arial" w:cs="Arial"/>
          <w:b/>
          <w:bCs/>
          <w:sz w:val="22"/>
          <w:szCs w:val="22"/>
          <w:lang w:val="ru-RU"/>
        </w:rPr>
        <w:t>10</w:t>
      </w:r>
      <w:r w:rsidRPr="00133A10">
        <w:rPr>
          <w:rFonts w:ascii="Arial" w:hAnsi="Arial" w:cs="Arial"/>
          <w:sz w:val="22"/>
          <w:szCs w:val="22"/>
          <w:lang w:val="ru-RU"/>
        </w:rPr>
        <w:t xml:space="preserve"> дана од дана усвајања Плана на седници Скупштине града Бора.</w:t>
      </w:r>
    </w:p>
    <w:p w14:paraId="1D91A2F5" w14:textId="77777777" w:rsidR="00133A10" w:rsidRDefault="00133A10" w:rsidP="00133A10">
      <w:pPr>
        <w:pStyle w:val="Standard"/>
        <w:jc w:val="both"/>
        <w:rPr>
          <w:rFonts w:ascii="Arial" w:hAnsi="Arial" w:cs="Arial"/>
          <w:sz w:val="22"/>
          <w:szCs w:val="22"/>
          <w:lang w:val="ru-RU"/>
        </w:rPr>
      </w:pPr>
    </w:p>
    <w:sectPr w:rsidR="00133A10" w:rsidSect="00333C87">
      <w:pgSz w:w="11906" w:h="16838"/>
      <w:pgMar w:top="1417" w:right="1134"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unga">
    <w:panose1 w:val="00000400000000000000"/>
    <w:charset w:val="00"/>
    <w:family w:val="swiss"/>
    <w:pitch w:val="variable"/>
    <w:sig w:usb0="004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EE"/>
    <w:family w:val="auto"/>
    <w:pitch w:val="variable"/>
  </w:font>
  <w:font w:name="ArialNarrow">
    <w:charset w:val="00"/>
    <w:family w:val="swiss"/>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45FED"/>
    <w:multiLevelType w:val="hybridMultilevel"/>
    <w:tmpl w:val="B9F68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134750"/>
    <w:multiLevelType w:val="multilevel"/>
    <w:tmpl w:val="FD08E318"/>
    <w:styleLink w:val="WW8Num38"/>
    <w:lvl w:ilvl="0">
      <w:numFmt w:val="bullet"/>
      <w:lvlText w:val="-"/>
      <w:lvlJc w:val="left"/>
      <w:pPr>
        <w:ind w:left="284" w:hanging="284"/>
      </w:pPr>
      <w:rPr>
        <w:rFonts w:ascii="Tunga" w:eastAsia="Tunga" w:hAnsi="Tunga" w:cs="Tung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 w15:restartNumberingAfterBreak="0">
    <w:nsid w:val="18BC08C8"/>
    <w:multiLevelType w:val="hybridMultilevel"/>
    <w:tmpl w:val="39060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803748"/>
    <w:multiLevelType w:val="hybridMultilevel"/>
    <w:tmpl w:val="F7180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7638A8"/>
    <w:multiLevelType w:val="hybridMultilevel"/>
    <w:tmpl w:val="1F94BBFE"/>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5" w15:restartNumberingAfterBreak="0">
    <w:nsid w:val="35C32F9E"/>
    <w:multiLevelType w:val="hybridMultilevel"/>
    <w:tmpl w:val="94B8C3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A063C2"/>
    <w:multiLevelType w:val="hybridMultilevel"/>
    <w:tmpl w:val="13A26B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BA4B91"/>
    <w:multiLevelType w:val="hybridMultilevel"/>
    <w:tmpl w:val="A296C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085877"/>
    <w:multiLevelType w:val="hybridMultilevel"/>
    <w:tmpl w:val="5CE8A4EE"/>
    <w:lvl w:ilvl="0" w:tplc="EC0AE17E">
      <w:numFmt w:val="bullet"/>
      <w:lvlText w:val=""/>
      <w:lvlJc w:val="left"/>
      <w:pPr>
        <w:ind w:left="720" w:hanging="360"/>
      </w:pPr>
      <w:rPr>
        <w:rFonts w:ascii="Symbol" w:eastAsiaTheme="minorHAnsi" w:hAnsi="Symbol" w:cs="Aria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9" w15:restartNumberingAfterBreak="0">
    <w:nsid w:val="4E026758"/>
    <w:multiLevelType w:val="hybridMultilevel"/>
    <w:tmpl w:val="0B505C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EE2B14"/>
    <w:multiLevelType w:val="hybridMultilevel"/>
    <w:tmpl w:val="AFD4D7E0"/>
    <w:lvl w:ilvl="0" w:tplc="08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95B3DF6"/>
    <w:multiLevelType w:val="hybridMultilevel"/>
    <w:tmpl w:val="DCD69DFC"/>
    <w:lvl w:ilvl="0" w:tplc="4936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B41A9B"/>
    <w:multiLevelType w:val="hybridMultilevel"/>
    <w:tmpl w:val="E90C0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E211BA"/>
    <w:multiLevelType w:val="hybridMultilevel"/>
    <w:tmpl w:val="89C26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E9086F"/>
    <w:multiLevelType w:val="hybridMultilevel"/>
    <w:tmpl w:val="901ABAB4"/>
    <w:lvl w:ilvl="0" w:tplc="241A000F">
      <w:start w:val="1"/>
      <w:numFmt w:val="decimal"/>
      <w:lvlText w:val="%1."/>
      <w:lvlJc w:val="left"/>
      <w:pPr>
        <w:ind w:left="780" w:hanging="360"/>
      </w:pPr>
    </w:lvl>
    <w:lvl w:ilvl="1" w:tplc="241A0019" w:tentative="1">
      <w:start w:val="1"/>
      <w:numFmt w:val="lowerLetter"/>
      <w:lvlText w:val="%2."/>
      <w:lvlJc w:val="left"/>
      <w:pPr>
        <w:ind w:left="1500" w:hanging="360"/>
      </w:pPr>
    </w:lvl>
    <w:lvl w:ilvl="2" w:tplc="241A001B" w:tentative="1">
      <w:start w:val="1"/>
      <w:numFmt w:val="lowerRoman"/>
      <w:lvlText w:val="%3."/>
      <w:lvlJc w:val="right"/>
      <w:pPr>
        <w:ind w:left="2220" w:hanging="180"/>
      </w:pPr>
    </w:lvl>
    <w:lvl w:ilvl="3" w:tplc="241A000F" w:tentative="1">
      <w:start w:val="1"/>
      <w:numFmt w:val="decimal"/>
      <w:lvlText w:val="%4."/>
      <w:lvlJc w:val="left"/>
      <w:pPr>
        <w:ind w:left="2940" w:hanging="360"/>
      </w:pPr>
    </w:lvl>
    <w:lvl w:ilvl="4" w:tplc="241A0019" w:tentative="1">
      <w:start w:val="1"/>
      <w:numFmt w:val="lowerLetter"/>
      <w:lvlText w:val="%5."/>
      <w:lvlJc w:val="left"/>
      <w:pPr>
        <w:ind w:left="3660" w:hanging="360"/>
      </w:pPr>
    </w:lvl>
    <w:lvl w:ilvl="5" w:tplc="241A001B" w:tentative="1">
      <w:start w:val="1"/>
      <w:numFmt w:val="lowerRoman"/>
      <w:lvlText w:val="%6."/>
      <w:lvlJc w:val="right"/>
      <w:pPr>
        <w:ind w:left="4380" w:hanging="180"/>
      </w:pPr>
    </w:lvl>
    <w:lvl w:ilvl="6" w:tplc="241A000F" w:tentative="1">
      <w:start w:val="1"/>
      <w:numFmt w:val="decimal"/>
      <w:lvlText w:val="%7."/>
      <w:lvlJc w:val="left"/>
      <w:pPr>
        <w:ind w:left="5100" w:hanging="360"/>
      </w:pPr>
    </w:lvl>
    <w:lvl w:ilvl="7" w:tplc="241A0019" w:tentative="1">
      <w:start w:val="1"/>
      <w:numFmt w:val="lowerLetter"/>
      <w:lvlText w:val="%8."/>
      <w:lvlJc w:val="left"/>
      <w:pPr>
        <w:ind w:left="5820" w:hanging="360"/>
      </w:pPr>
    </w:lvl>
    <w:lvl w:ilvl="8" w:tplc="241A001B" w:tentative="1">
      <w:start w:val="1"/>
      <w:numFmt w:val="lowerRoman"/>
      <w:lvlText w:val="%9."/>
      <w:lvlJc w:val="right"/>
      <w:pPr>
        <w:ind w:left="6540" w:hanging="180"/>
      </w:pPr>
    </w:lvl>
  </w:abstractNum>
  <w:num w:numId="1" w16cid:durableId="1763866759">
    <w:abstractNumId w:val="4"/>
  </w:num>
  <w:num w:numId="2" w16cid:durableId="540093781">
    <w:abstractNumId w:val="8"/>
  </w:num>
  <w:num w:numId="3" w16cid:durableId="1782607985">
    <w:abstractNumId w:val="12"/>
  </w:num>
  <w:num w:numId="4" w16cid:durableId="525559163">
    <w:abstractNumId w:val="10"/>
  </w:num>
  <w:num w:numId="5" w16cid:durableId="625701102">
    <w:abstractNumId w:val="3"/>
  </w:num>
  <w:num w:numId="6" w16cid:durableId="1005132440">
    <w:abstractNumId w:val="0"/>
  </w:num>
  <w:num w:numId="7" w16cid:durableId="1399984437">
    <w:abstractNumId w:val="9"/>
  </w:num>
  <w:num w:numId="8" w16cid:durableId="2007435878">
    <w:abstractNumId w:val="14"/>
  </w:num>
  <w:num w:numId="9" w16cid:durableId="1746948081">
    <w:abstractNumId w:val="6"/>
  </w:num>
  <w:num w:numId="10" w16cid:durableId="1535994674">
    <w:abstractNumId w:val="5"/>
  </w:num>
  <w:num w:numId="11" w16cid:durableId="777723692">
    <w:abstractNumId w:val="1"/>
  </w:num>
  <w:num w:numId="12" w16cid:durableId="1954825573">
    <w:abstractNumId w:val="1"/>
  </w:num>
  <w:num w:numId="13" w16cid:durableId="1125077275">
    <w:abstractNumId w:val="1"/>
  </w:num>
  <w:num w:numId="14" w16cid:durableId="491799603">
    <w:abstractNumId w:val="11"/>
  </w:num>
  <w:num w:numId="15" w16cid:durableId="1078358076">
    <w:abstractNumId w:val="13"/>
  </w:num>
  <w:num w:numId="16" w16cid:durableId="548491721">
    <w:abstractNumId w:val="2"/>
  </w:num>
  <w:num w:numId="17" w16cid:durableId="4219484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AA3554"/>
    <w:rsid w:val="000610BE"/>
    <w:rsid w:val="000636C1"/>
    <w:rsid w:val="00070AE2"/>
    <w:rsid w:val="0007100E"/>
    <w:rsid w:val="00074818"/>
    <w:rsid w:val="0008589D"/>
    <w:rsid w:val="00086202"/>
    <w:rsid w:val="00086758"/>
    <w:rsid w:val="000A1F32"/>
    <w:rsid w:val="000C0411"/>
    <w:rsid w:val="000C1914"/>
    <w:rsid w:val="000D516B"/>
    <w:rsid w:val="000E3672"/>
    <w:rsid w:val="000F2955"/>
    <w:rsid w:val="00110FD3"/>
    <w:rsid w:val="00133A10"/>
    <w:rsid w:val="00150F12"/>
    <w:rsid w:val="001518B5"/>
    <w:rsid w:val="001529CD"/>
    <w:rsid w:val="0019032F"/>
    <w:rsid w:val="0019524F"/>
    <w:rsid w:val="001B1F34"/>
    <w:rsid w:val="001F6DB3"/>
    <w:rsid w:val="002235ED"/>
    <w:rsid w:val="00236E59"/>
    <w:rsid w:val="00257FDC"/>
    <w:rsid w:val="00262639"/>
    <w:rsid w:val="00270D18"/>
    <w:rsid w:val="002A25EA"/>
    <w:rsid w:val="002D459A"/>
    <w:rsid w:val="00311BE1"/>
    <w:rsid w:val="00312AE9"/>
    <w:rsid w:val="00332A51"/>
    <w:rsid w:val="00333C87"/>
    <w:rsid w:val="00350C9F"/>
    <w:rsid w:val="003664EA"/>
    <w:rsid w:val="00367636"/>
    <w:rsid w:val="003841B0"/>
    <w:rsid w:val="003A7989"/>
    <w:rsid w:val="003C2021"/>
    <w:rsid w:val="003E4F7E"/>
    <w:rsid w:val="00413FEC"/>
    <w:rsid w:val="00421046"/>
    <w:rsid w:val="00424635"/>
    <w:rsid w:val="00434B0B"/>
    <w:rsid w:val="00443458"/>
    <w:rsid w:val="00453358"/>
    <w:rsid w:val="004573A6"/>
    <w:rsid w:val="00457E4D"/>
    <w:rsid w:val="00471A5D"/>
    <w:rsid w:val="004775D5"/>
    <w:rsid w:val="004A7B00"/>
    <w:rsid w:val="004E6A4F"/>
    <w:rsid w:val="004F40AF"/>
    <w:rsid w:val="0050478C"/>
    <w:rsid w:val="0052329D"/>
    <w:rsid w:val="00523365"/>
    <w:rsid w:val="00527584"/>
    <w:rsid w:val="00527690"/>
    <w:rsid w:val="00533B9A"/>
    <w:rsid w:val="00545F5E"/>
    <w:rsid w:val="00553819"/>
    <w:rsid w:val="0056047F"/>
    <w:rsid w:val="0058622F"/>
    <w:rsid w:val="005A372F"/>
    <w:rsid w:val="005B29F1"/>
    <w:rsid w:val="005D135F"/>
    <w:rsid w:val="006053BB"/>
    <w:rsid w:val="006112CC"/>
    <w:rsid w:val="00612054"/>
    <w:rsid w:val="0063711B"/>
    <w:rsid w:val="0064434B"/>
    <w:rsid w:val="00645CB7"/>
    <w:rsid w:val="00656B27"/>
    <w:rsid w:val="006573B3"/>
    <w:rsid w:val="00670C38"/>
    <w:rsid w:val="00674567"/>
    <w:rsid w:val="00680D7B"/>
    <w:rsid w:val="006932E9"/>
    <w:rsid w:val="006A7C1F"/>
    <w:rsid w:val="006B30DA"/>
    <w:rsid w:val="006E4132"/>
    <w:rsid w:val="00710056"/>
    <w:rsid w:val="00733ED0"/>
    <w:rsid w:val="00734EF1"/>
    <w:rsid w:val="00735636"/>
    <w:rsid w:val="007418A9"/>
    <w:rsid w:val="0075633F"/>
    <w:rsid w:val="007729B7"/>
    <w:rsid w:val="00776B45"/>
    <w:rsid w:val="007978C9"/>
    <w:rsid w:val="007B03ED"/>
    <w:rsid w:val="007D613F"/>
    <w:rsid w:val="007F151D"/>
    <w:rsid w:val="008021B8"/>
    <w:rsid w:val="00814B0B"/>
    <w:rsid w:val="00814FFB"/>
    <w:rsid w:val="0082192E"/>
    <w:rsid w:val="00830AA5"/>
    <w:rsid w:val="00832F5E"/>
    <w:rsid w:val="00835365"/>
    <w:rsid w:val="00843392"/>
    <w:rsid w:val="00844D1F"/>
    <w:rsid w:val="00851A7F"/>
    <w:rsid w:val="00853398"/>
    <w:rsid w:val="00885332"/>
    <w:rsid w:val="008A0F01"/>
    <w:rsid w:val="00900CB1"/>
    <w:rsid w:val="00913F15"/>
    <w:rsid w:val="009167C3"/>
    <w:rsid w:val="00923BC8"/>
    <w:rsid w:val="009278D1"/>
    <w:rsid w:val="00932887"/>
    <w:rsid w:val="00941E40"/>
    <w:rsid w:val="009560B8"/>
    <w:rsid w:val="00957289"/>
    <w:rsid w:val="00957E3E"/>
    <w:rsid w:val="0096468B"/>
    <w:rsid w:val="0097676B"/>
    <w:rsid w:val="0098548F"/>
    <w:rsid w:val="00993126"/>
    <w:rsid w:val="009B1392"/>
    <w:rsid w:val="009B29DA"/>
    <w:rsid w:val="009C21E2"/>
    <w:rsid w:val="009E475F"/>
    <w:rsid w:val="009E7045"/>
    <w:rsid w:val="009F0E6D"/>
    <w:rsid w:val="009F7B3C"/>
    <w:rsid w:val="00A017ED"/>
    <w:rsid w:val="00A05A27"/>
    <w:rsid w:val="00A23746"/>
    <w:rsid w:val="00A274FF"/>
    <w:rsid w:val="00A3047A"/>
    <w:rsid w:val="00A31ADF"/>
    <w:rsid w:val="00A461E9"/>
    <w:rsid w:val="00A513B9"/>
    <w:rsid w:val="00A60490"/>
    <w:rsid w:val="00A648B5"/>
    <w:rsid w:val="00A67B81"/>
    <w:rsid w:val="00A77777"/>
    <w:rsid w:val="00A82EF7"/>
    <w:rsid w:val="00AA3554"/>
    <w:rsid w:val="00AA568B"/>
    <w:rsid w:val="00AA67D5"/>
    <w:rsid w:val="00AC3EF5"/>
    <w:rsid w:val="00AC559C"/>
    <w:rsid w:val="00B0464B"/>
    <w:rsid w:val="00B14C7B"/>
    <w:rsid w:val="00B15F66"/>
    <w:rsid w:val="00B21AD0"/>
    <w:rsid w:val="00B47781"/>
    <w:rsid w:val="00B5257B"/>
    <w:rsid w:val="00B56DB7"/>
    <w:rsid w:val="00B9535A"/>
    <w:rsid w:val="00BC1319"/>
    <w:rsid w:val="00BC153E"/>
    <w:rsid w:val="00BC3A3A"/>
    <w:rsid w:val="00C15462"/>
    <w:rsid w:val="00C210A6"/>
    <w:rsid w:val="00C261A4"/>
    <w:rsid w:val="00C42B0D"/>
    <w:rsid w:val="00C50D21"/>
    <w:rsid w:val="00C513E7"/>
    <w:rsid w:val="00C73410"/>
    <w:rsid w:val="00C90746"/>
    <w:rsid w:val="00C91677"/>
    <w:rsid w:val="00C91738"/>
    <w:rsid w:val="00C95A86"/>
    <w:rsid w:val="00CC70D3"/>
    <w:rsid w:val="00CD7FDA"/>
    <w:rsid w:val="00CE2AD7"/>
    <w:rsid w:val="00D35F3E"/>
    <w:rsid w:val="00D45DFE"/>
    <w:rsid w:val="00D50F0D"/>
    <w:rsid w:val="00D94834"/>
    <w:rsid w:val="00DA5A52"/>
    <w:rsid w:val="00DB2450"/>
    <w:rsid w:val="00DF055F"/>
    <w:rsid w:val="00DF7258"/>
    <w:rsid w:val="00E042EC"/>
    <w:rsid w:val="00E046B6"/>
    <w:rsid w:val="00E10809"/>
    <w:rsid w:val="00E119D1"/>
    <w:rsid w:val="00E2725E"/>
    <w:rsid w:val="00E44D89"/>
    <w:rsid w:val="00E467D3"/>
    <w:rsid w:val="00E65E7C"/>
    <w:rsid w:val="00E73576"/>
    <w:rsid w:val="00E85C65"/>
    <w:rsid w:val="00ED05BC"/>
    <w:rsid w:val="00F00490"/>
    <w:rsid w:val="00F043DE"/>
    <w:rsid w:val="00F120DB"/>
    <w:rsid w:val="00F245A4"/>
    <w:rsid w:val="00F3212A"/>
    <w:rsid w:val="00F47618"/>
    <w:rsid w:val="00F57EB8"/>
    <w:rsid w:val="00F61EAD"/>
    <w:rsid w:val="00F63E91"/>
    <w:rsid w:val="00F72B36"/>
    <w:rsid w:val="00FE47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88FE8"/>
  <w15:docId w15:val="{7B485B6E-9384-443D-BB4C-F858DB059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r-Latn-C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C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e 1,List Paragraph1,Citation List,ANNEX,body 2,List Paragraph11,Mummuga loetelu,Loendi lõik,2,List Paragraph à moi,Dot pt,No Spacing1,List Paragraph Char Char Char,Indicator Text,Numbered Para 1,Welt L Char,Welt L,Bullet List"/>
    <w:basedOn w:val="Normal"/>
    <w:link w:val="ListParagraphChar"/>
    <w:qFormat/>
    <w:rsid w:val="003664EA"/>
    <w:pPr>
      <w:ind w:left="720"/>
      <w:contextualSpacing/>
    </w:pPr>
  </w:style>
  <w:style w:type="table" w:styleId="TableGrid">
    <w:name w:val="Table Grid"/>
    <w:basedOn w:val="TableNormal"/>
    <w:uiPriority w:val="59"/>
    <w:rsid w:val="00311BE1"/>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aliases w:val="Liste 1 Char,List Paragraph1 Char,Citation List Char,ANNEX Char,body 2 Char,List Paragraph11 Char,Mummuga loetelu Char,Loendi lõik Char,2 Char,List Paragraph à moi Char,Dot pt Char,No Spacing1 Char,List Paragraph Char Char Char Char"/>
    <w:link w:val="ListParagraph"/>
    <w:qFormat/>
    <w:locked/>
    <w:rsid w:val="009F0E6D"/>
  </w:style>
  <w:style w:type="paragraph" w:customStyle="1" w:styleId="Standard">
    <w:name w:val="Standard"/>
    <w:rsid w:val="009E7045"/>
    <w:pPr>
      <w:widowControl w:val="0"/>
      <w:suppressAutoHyphens/>
      <w:autoSpaceDN w:val="0"/>
      <w:spacing w:after="0" w:line="240" w:lineRule="auto"/>
    </w:pPr>
    <w:rPr>
      <w:rFonts w:ascii="Liberation Serif" w:eastAsia="Segoe UI" w:hAnsi="Liberation Serif" w:cs="Tahoma"/>
      <w:color w:val="000000"/>
      <w:kern w:val="3"/>
      <w:sz w:val="24"/>
      <w:szCs w:val="24"/>
      <w:lang w:val="en-US" w:eastAsia="zh-CN" w:bidi="hi-IN"/>
    </w:rPr>
  </w:style>
  <w:style w:type="paragraph" w:customStyle="1" w:styleId="TableContents">
    <w:name w:val="Table Contents"/>
    <w:basedOn w:val="Normal"/>
    <w:rsid w:val="009E7045"/>
    <w:pPr>
      <w:widowControl w:val="0"/>
      <w:suppressLineNumbers/>
      <w:suppressAutoHyphens/>
      <w:autoSpaceDN w:val="0"/>
      <w:spacing w:after="160" w:line="254" w:lineRule="auto"/>
    </w:pPr>
    <w:rPr>
      <w:rFonts w:ascii="Calibri" w:eastAsia="Calibri" w:hAnsi="Calibri" w:cs="Times New Roman"/>
      <w:lang w:val="en-US"/>
    </w:rPr>
  </w:style>
  <w:style w:type="numbering" w:customStyle="1" w:styleId="WW8Num38">
    <w:name w:val="WW8Num38"/>
    <w:rsid w:val="009E7045"/>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76574">
      <w:bodyDiv w:val="1"/>
      <w:marLeft w:val="0"/>
      <w:marRight w:val="0"/>
      <w:marTop w:val="0"/>
      <w:marBottom w:val="0"/>
      <w:divBdr>
        <w:top w:val="none" w:sz="0" w:space="0" w:color="auto"/>
        <w:left w:val="none" w:sz="0" w:space="0" w:color="auto"/>
        <w:bottom w:val="none" w:sz="0" w:space="0" w:color="auto"/>
        <w:right w:val="none" w:sz="0" w:space="0" w:color="auto"/>
      </w:divBdr>
    </w:div>
    <w:div w:id="1208180558">
      <w:bodyDiv w:val="1"/>
      <w:marLeft w:val="0"/>
      <w:marRight w:val="0"/>
      <w:marTop w:val="0"/>
      <w:marBottom w:val="0"/>
      <w:divBdr>
        <w:top w:val="none" w:sz="0" w:space="0" w:color="auto"/>
        <w:left w:val="none" w:sz="0" w:space="0" w:color="auto"/>
        <w:bottom w:val="none" w:sz="0" w:space="0" w:color="auto"/>
        <w:right w:val="none" w:sz="0" w:space="0" w:color="auto"/>
      </w:divBdr>
    </w:div>
    <w:div w:id="1475371009">
      <w:bodyDiv w:val="1"/>
      <w:marLeft w:val="0"/>
      <w:marRight w:val="0"/>
      <w:marTop w:val="0"/>
      <w:marBottom w:val="0"/>
      <w:divBdr>
        <w:top w:val="none" w:sz="0" w:space="0" w:color="auto"/>
        <w:left w:val="none" w:sz="0" w:space="0" w:color="auto"/>
        <w:bottom w:val="none" w:sz="0" w:space="0" w:color="auto"/>
        <w:right w:val="none" w:sz="0" w:space="0" w:color="auto"/>
      </w:divBdr>
    </w:div>
    <w:div w:id="2053965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Pages>
  <Words>897</Words>
  <Characters>5114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Ivana</dc:creator>
  <cp:lastModifiedBy>Mira</cp:lastModifiedBy>
  <cp:revision>10</cp:revision>
  <cp:lastPrinted>2020-09-09T05:55:00Z</cp:lastPrinted>
  <dcterms:created xsi:type="dcterms:W3CDTF">2024-07-17T09:21:00Z</dcterms:created>
  <dcterms:modified xsi:type="dcterms:W3CDTF">2025-12-08T13:06:00Z</dcterms:modified>
</cp:coreProperties>
</file>