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9B" w:rsidRPr="006C31EF" w:rsidRDefault="006C31EF" w:rsidP="00AA2A38">
      <w:pPr>
        <w:spacing w:after="160" w:line="259" w:lineRule="auto"/>
        <w:jc w:val="center"/>
        <w:rPr>
          <w:rFonts w:ascii="Segoe UI" w:eastAsia="Calibri" w:hAnsi="Segoe UI" w:cs="Segoe UI"/>
          <w:b/>
          <w:kern w:val="2"/>
          <w:sz w:val="28"/>
          <w:szCs w:val="28"/>
          <w:lang w:val="sr-Cyrl-RS"/>
          <w14:ligatures w14:val="standardContextual"/>
        </w:rPr>
      </w:pPr>
      <w:r>
        <w:rPr>
          <w:rFonts w:ascii="Segoe UI" w:eastAsia="Calibri" w:hAnsi="Segoe UI" w:cs="Segoe UI"/>
          <w:b/>
          <w:kern w:val="2"/>
          <w:sz w:val="28"/>
          <w:szCs w:val="28"/>
          <w:lang w:val="sr-Cyrl-RS"/>
          <w14:ligatures w14:val="standardContextual"/>
        </w:rPr>
        <w:t>Подаци у вези са критеријумима за доделу уг</w:t>
      </w:r>
      <w:r w:rsidR="00AA2A38">
        <w:rPr>
          <w:rFonts w:ascii="Segoe UI" w:eastAsia="Calibri" w:hAnsi="Segoe UI" w:cs="Segoe UI"/>
          <w:b/>
          <w:kern w:val="2"/>
          <w:sz w:val="28"/>
          <w:szCs w:val="28"/>
          <w:lang w:val="sr-Cyrl-RS"/>
          <w14:ligatures w14:val="standardContextual"/>
        </w:rPr>
        <w:t>о</w:t>
      </w:r>
      <w:r>
        <w:rPr>
          <w:rFonts w:ascii="Segoe UI" w:eastAsia="Calibri" w:hAnsi="Segoe UI" w:cs="Segoe UI"/>
          <w:b/>
          <w:kern w:val="2"/>
          <w:sz w:val="28"/>
          <w:szCs w:val="28"/>
          <w:lang w:val="sr-Cyrl-RS"/>
          <w14:ligatures w14:val="standardContextual"/>
        </w:rPr>
        <w:t>вора</w:t>
      </w:r>
    </w:p>
    <w:p w:rsidR="0074339B" w:rsidRPr="00E4252D" w:rsidRDefault="0074339B" w:rsidP="0074339B">
      <w:pPr>
        <w:spacing w:after="160" w:line="259" w:lineRule="auto"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>У поступку јавне набавке Наручилац додељује уговор економски најповољнијој понуди на основу односа понуђене цене и квалитета на основу следећих критеријума:</w:t>
      </w:r>
    </w:p>
    <w:tbl>
      <w:tblPr>
        <w:tblStyle w:val="TableGrid1"/>
        <w:tblW w:w="10206" w:type="dxa"/>
        <w:tblInd w:w="-459" w:type="dxa"/>
        <w:tblLook w:val="04A0" w:firstRow="1" w:lastRow="0" w:firstColumn="1" w:lastColumn="0" w:noHBand="0" w:noVBand="1"/>
      </w:tblPr>
      <w:tblGrid>
        <w:gridCol w:w="4967"/>
        <w:gridCol w:w="5239"/>
      </w:tblGrid>
      <w:tr w:rsidR="0074339B" w:rsidRPr="00E4252D" w:rsidTr="00AE3E43">
        <w:trPr>
          <w:trHeight w:val="1000"/>
        </w:trPr>
        <w:tc>
          <w:tcPr>
            <w:tcW w:w="4967" w:type="dxa"/>
          </w:tcPr>
          <w:p w:rsidR="0074339B" w:rsidRPr="00E4252D" w:rsidRDefault="0074339B" w:rsidP="00EB2231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  <w:r w:rsidRPr="00E4252D">
              <w:rPr>
                <w:rFonts w:ascii="Segoe UI" w:eastAsia="Calibri" w:hAnsi="Segoe UI" w:cs="Segoe UI"/>
                <w:lang w:val="sr-Cyrl-RS"/>
              </w:rPr>
              <w:t>Критеријум</w:t>
            </w:r>
          </w:p>
          <w:p w:rsidR="0074339B" w:rsidRPr="00E4252D" w:rsidRDefault="0074339B" w:rsidP="00EB2231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</w:p>
        </w:tc>
        <w:tc>
          <w:tcPr>
            <w:tcW w:w="5239" w:type="dxa"/>
          </w:tcPr>
          <w:p w:rsidR="0074339B" w:rsidRPr="00E4252D" w:rsidRDefault="0074339B" w:rsidP="00EB2231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</w:p>
          <w:p w:rsidR="0074339B" w:rsidRPr="00E4252D" w:rsidRDefault="0074339B" w:rsidP="00EB2231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  <w:r w:rsidRPr="00E4252D">
              <w:rPr>
                <w:rFonts w:ascii="Segoe UI" w:eastAsia="Calibri" w:hAnsi="Segoe UI" w:cs="Segoe UI"/>
                <w:lang w:val="sr-Cyrl-RS"/>
              </w:rPr>
              <w:t>Број пондера</w:t>
            </w:r>
          </w:p>
        </w:tc>
      </w:tr>
      <w:tr w:rsidR="0074339B" w:rsidRPr="00E4252D" w:rsidTr="00AE3E43">
        <w:tc>
          <w:tcPr>
            <w:tcW w:w="4967" w:type="dxa"/>
          </w:tcPr>
          <w:p w:rsidR="0074339B" w:rsidRPr="00E4252D" w:rsidRDefault="0074339B" w:rsidP="00AE3E43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  <w:r w:rsidRPr="00E4252D">
              <w:rPr>
                <w:rFonts w:ascii="Segoe UI" w:eastAsia="Calibri" w:hAnsi="Segoe UI" w:cs="Segoe UI"/>
                <w:lang w:val="sr-Cyrl-RS"/>
              </w:rPr>
              <w:t>Цена</w:t>
            </w:r>
          </w:p>
          <w:p w:rsidR="0074339B" w:rsidRPr="00E4252D" w:rsidRDefault="0074339B" w:rsidP="00AE3E43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</w:p>
        </w:tc>
        <w:tc>
          <w:tcPr>
            <w:tcW w:w="5239" w:type="dxa"/>
          </w:tcPr>
          <w:p w:rsidR="0074339B" w:rsidRPr="00E4252D" w:rsidRDefault="00D61075" w:rsidP="00AE3E43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  <w:r>
              <w:rPr>
                <w:rFonts w:ascii="Segoe UI" w:eastAsia="Calibri" w:hAnsi="Segoe UI" w:cs="Segoe UI"/>
                <w:lang w:val="sr-Cyrl-RS"/>
              </w:rPr>
              <w:t>88</w:t>
            </w:r>
          </w:p>
        </w:tc>
      </w:tr>
      <w:tr w:rsidR="0074339B" w:rsidRPr="00E4252D" w:rsidTr="00AE3E43">
        <w:tc>
          <w:tcPr>
            <w:tcW w:w="4967" w:type="dxa"/>
          </w:tcPr>
          <w:p w:rsidR="0074339B" w:rsidRPr="00E4252D" w:rsidRDefault="0074339B" w:rsidP="00AE3E43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  <w:r w:rsidRPr="00E4252D">
              <w:rPr>
                <w:rFonts w:ascii="Segoe UI" w:eastAsia="Calibri" w:hAnsi="Segoe UI" w:cs="Segoe UI"/>
                <w:lang w:val="sr-Cyrl-RS"/>
              </w:rPr>
              <w:t>Критеријум квалитета кадрова</w:t>
            </w:r>
          </w:p>
          <w:p w:rsidR="0074339B" w:rsidRPr="00E4252D" w:rsidRDefault="0074339B" w:rsidP="00AE3E43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</w:p>
        </w:tc>
        <w:tc>
          <w:tcPr>
            <w:tcW w:w="5239" w:type="dxa"/>
          </w:tcPr>
          <w:p w:rsidR="0074339B" w:rsidRPr="00E4252D" w:rsidRDefault="00D61075" w:rsidP="00AE3E43">
            <w:pPr>
              <w:spacing w:after="160" w:line="259" w:lineRule="auto"/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  <w:lang w:val="sr-Cyrl-RS"/>
              </w:rPr>
              <w:t>12</w:t>
            </w:r>
          </w:p>
        </w:tc>
      </w:tr>
      <w:tr w:rsidR="0074339B" w:rsidRPr="00E4252D" w:rsidTr="00AE3E43">
        <w:tc>
          <w:tcPr>
            <w:tcW w:w="4967" w:type="dxa"/>
          </w:tcPr>
          <w:p w:rsidR="0074339B" w:rsidRPr="00E4252D" w:rsidRDefault="0074339B" w:rsidP="00AE3E43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  <w:r w:rsidRPr="00E4252D">
              <w:rPr>
                <w:rFonts w:ascii="Segoe UI" w:eastAsia="Calibri" w:hAnsi="Segoe UI" w:cs="Segoe UI"/>
                <w:lang w:val="sr-Cyrl-RS"/>
              </w:rPr>
              <w:t>Укупно</w:t>
            </w:r>
          </w:p>
          <w:p w:rsidR="0074339B" w:rsidRPr="00E4252D" w:rsidRDefault="0074339B" w:rsidP="00AE3E43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</w:p>
        </w:tc>
        <w:tc>
          <w:tcPr>
            <w:tcW w:w="5239" w:type="dxa"/>
          </w:tcPr>
          <w:p w:rsidR="0074339B" w:rsidRPr="00E4252D" w:rsidRDefault="0074339B" w:rsidP="00AE3E43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  <w:r w:rsidRPr="00E4252D">
              <w:rPr>
                <w:rFonts w:ascii="Segoe UI" w:eastAsia="Calibri" w:hAnsi="Segoe UI" w:cs="Segoe UI"/>
                <w:lang w:val="sr-Cyrl-RS"/>
              </w:rPr>
              <w:t>100</w:t>
            </w:r>
          </w:p>
          <w:p w:rsidR="0074339B" w:rsidRPr="00E4252D" w:rsidRDefault="0074339B" w:rsidP="00AE3E43">
            <w:pPr>
              <w:spacing w:after="160" w:line="259" w:lineRule="auto"/>
              <w:jc w:val="center"/>
              <w:rPr>
                <w:rFonts w:ascii="Segoe UI" w:eastAsia="Calibri" w:hAnsi="Segoe UI" w:cs="Segoe UI"/>
                <w:lang w:val="sr-Cyrl-RS"/>
              </w:rPr>
            </w:pPr>
          </w:p>
        </w:tc>
      </w:tr>
    </w:tbl>
    <w:p w:rsidR="0074339B" w:rsidRPr="00E4252D" w:rsidRDefault="0074339B" w:rsidP="0074339B">
      <w:pPr>
        <w:spacing w:after="160" w:line="259" w:lineRule="auto"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74339B" w:rsidRDefault="0074339B" w:rsidP="0074339B">
      <w:pPr>
        <w:spacing w:after="160" w:line="259" w:lineRule="auto"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При израчунавању броја пондера (пондерисању) Наручилац ће узети у обзир само оне понуде које након прегледа и стручне оцене нису одбијене као неприхватљиве. </w:t>
      </w:r>
    </w:p>
    <w:p w:rsidR="0074339B" w:rsidRPr="00E4252D" w:rsidRDefault="0074339B" w:rsidP="0074339B">
      <w:pPr>
        <w:spacing w:after="160" w:line="259" w:lineRule="auto"/>
        <w:jc w:val="both"/>
        <w:rPr>
          <w:rFonts w:ascii="Segoe UI" w:eastAsia="Calibri" w:hAnsi="Segoe UI" w:cs="Segoe UI"/>
          <w:b/>
          <w:kern w:val="2"/>
          <w:u w:val="single"/>
          <w:lang w:val="sr-Cyrl-RS"/>
          <w14:ligatures w14:val="standardContextual"/>
        </w:rPr>
      </w:pPr>
      <w:r w:rsidRPr="00E4252D">
        <w:rPr>
          <w:rFonts w:ascii="Segoe UI" w:eastAsia="Calibri" w:hAnsi="Segoe UI" w:cs="Segoe UI"/>
          <w:b/>
          <w:kern w:val="2"/>
          <w:u w:val="single"/>
          <w:lang w:val="sr-Cyrl-RS"/>
          <w14:ligatures w14:val="standardContextual"/>
        </w:rPr>
        <w:t xml:space="preserve">ЦЕНА </w:t>
      </w:r>
    </w:p>
    <w:p w:rsidR="0074339B" w:rsidRPr="00E4252D" w:rsidRDefault="0074339B" w:rsidP="0074339B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Понуда по овом критеријуму може остварити </w:t>
      </w:r>
      <w:r w:rsidRPr="00E4252D">
        <w:rPr>
          <w:rFonts w:ascii="Segoe UI" w:eastAsia="Calibri" w:hAnsi="Segoe UI" w:cs="Segoe UI"/>
          <w:kern w:val="2"/>
          <w:u w:val="single"/>
          <w:lang w:val="sr-Cyrl-RS"/>
          <w14:ligatures w14:val="standardContextual"/>
        </w:rPr>
        <w:t xml:space="preserve">максимално </w:t>
      </w:r>
      <w:r w:rsidR="00D61075">
        <w:rPr>
          <w:rFonts w:ascii="Segoe UI" w:eastAsia="Calibri" w:hAnsi="Segoe UI" w:cs="Segoe UI"/>
          <w:kern w:val="2"/>
          <w:u w:val="single"/>
          <w:lang w:val="sr-Cyrl-RS"/>
          <w14:ligatures w14:val="standardContextual"/>
        </w:rPr>
        <w:t>88</w:t>
      </w:r>
      <w:r w:rsidRPr="00E4252D">
        <w:rPr>
          <w:rFonts w:ascii="Segoe UI" w:eastAsia="Calibri" w:hAnsi="Segoe UI" w:cs="Segoe UI"/>
          <w:kern w:val="2"/>
          <w:u w:val="single"/>
          <w:lang w:val="sr-Cyrl-RS"/>
          <w14:ligatures w14:val="standardContextual"/>
        </w:rPr>
        <w:t xml:space="preserve"> пондера</w:t>
      </w: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. </w:t>
      </w:r>
    </w:p>
    <w:p w:rsidR="0074339B" w:rsidRPr="00E4252D" w:rsidRDefault="0074339B" w:rsidP="0074339B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Број пондера по овом критеријуму израчунава се по следећој формули: </w:t>
      </w:r>
    </w:p>
    <w:p w:rsidR="0074339B" w:rsidRPr="00E4252D" w:rsidRDefault="0074339B" w:rsidP="0074339B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74339B" w:rsidRPr="00E4252D" w:rsidRDefault="00D61075" w:rsidP="0074339B">
      <w:pPr>
        <w:jc w:val="center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>
        <w:rPr>
          <w:rFonts w:ascii="Segoe UI" w:eastAsia="Calibri" w:hAnsi="Segoe UI" w:cs="Segoe UI"/>
          <w:kern w:val="2"/>
          <w:lang w:val="sr-Cyrl-RS"/>
          <w14:ligatures w14:val="standardContextual"/>
        </w:rPr>
        <w:t>Ц= (Цн/Цп)*88</w:t>
      </w:r>
    </w:p>
    <w:p w:rsidR="0074339B" w:rsidRPr="00E4252D" w:rsidRDefault="0074339B" w:rsidP="0074339B">
      <w:pPr>
        <w:jc w:val="center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74339B" w:rsidRPr="00E4252D" w:rsidRDefault="0074339B" w:rsidP="0074339B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Ц - Остварени број пондера за понуђену цену </w:t>
      </w:r>
    </w:p>
    <w:p w:rsidR="0074339B" w:rsidRPr="00E4252D" w:rsidRDefault="0074339B" w:rsidP="0074339B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Цн - Најнижа понуђена цена у поступку јавне набавке </w:t>
      </w:r>
    </w:p>
    <w:p w:rsidR="0074339B" w:rsidRPr="00E4252D" w:rsidRDefault="0074339B" w:rsidP="0074339B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>Цп - Цена понуде која је предмет оцене</w:t>
      </w:r>
    </w:p>
    <w:p w:rsidR="0074339B" w:rsidRPr="00E4252D" w:rsidRDefault="0074339B" w:rsidP="0074339B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74339B" w:rsidRPr="00E4252D" w:rsidRDefault="0074339B" w:rsidP="0074339B">
      <w:pPr>
        <w:jc w:val="both"/>
        <w:rPr>
          <w:rFonts w:ascii="Segoe UI" w:eastAsia="Calibri" w:hAnsi="Segoe UI" w:cs="Segoe UI"/>
          <w:b/>
          <w:kern w:val="2"/>
          <w:u w:val="single"/>
          <w:lang w:val="sr-Cyrl-RS"/>
          <w14:ligatures w14:val="standardContextual"/>
        </w:rPr>
      </w:pPr>
      <w:r w:rsidRPr="00E4252D">
        <w:rPr>
          <w:rFonts w:ascii="Segoe UI" w:eastAsia="Calibri" w:hAnsi="Segoe UI" w:cs="Segoe UI"/>
          <w:b/>
          <w:kern w:val="2"/>
          <w:u w:val="single"/>
          <w:lang w:val="sr-Cyrl-RS"/>
          <w14:ligatures w14:val="standardContextual"/>
        </w:rPr>
        <w:t xml:space="preserve">КРИТЕРИЈУМ КВАЛИТЕТА КАДРОВА </w:t>
      </w:r>
    </w:p>
    <w:p w:rsidR="0074339B" w:rsidRPr="00E4252D" w:rsidRDefault="0074339B" w:rsidP="0074339B">
      <w:pPr>
        <w:jc w:val="both"/>
        <w:rPr>
          <w:rFonts w:ascii="Segoe UI" w:eastAsia="Calibri" w:hAnsi="Segoe UI" w:cs="Segoe UI"/>
          <w:b/>
          <w:kern w:val="2"/>
          <w:u w:val="single"/>
          <w:lang w:val="sr-Cyrl-RS"/>
          <w14:ligatures w14:val="standardContextual"/>
        </w:rPr>
      </w:pPr>
    </w:p>
    <w:p w:rsidR="0074339B" w:rsidRDefault="0074339B" w:rsidP="0074339B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Понуда по овом критеријуму може остварити </w:t>
      </w:r>
      <w:r w:rsidR="00AA2A38">
        <w:rPr>
          <w:rFonts w:ascii="Segoe UI" w:eastAsia="Calibri" w:hAnsi="Segoe UI" w:cs="Segoe UI"/>
          <w:kern w:val="2"/>
          <w:u w:val="single"/>
          <w:lang w:val="sr-Cyrl-RS"/>
          <w14:ligatures w14:val="standardContextual"/>
        </w:rPr>
        <w:t xml:space="preserve">максимално </w:t>
      </w:r>
      <w:r w:rsidR="00D61075">
        <w:rPr>
          <w:rFonts w:ascii="Segoe UI" w:eastAsia="Calibri" w:hAnsi="Segoe UI" w:cs="Segoe UI"/>
          <w:kern w:val="2"/>
          <w:u w:val="single"/>
          <w:lang w:val="sr-Cyrl-RS"/>
          <w14:ligatures w14:val="standardContextual"/>
        </w:rPr>
        <w:t>12</w:t>
      </w:r>
      <w:r w:rsidRPr="00E4252D">
        <w:rPr>
          <w:rFonts w:ascii="Segoe UI" w:eastAsia="Calibri" w:hAnsi="Segoe UI" w:cs="Segoe UI"/>
          <w:kern w:val="2"/>
          <w:u w:val="single"/>
          <w:lang w:val="sr-Cyrl-RS"/>
          <w14:ligatures w14:val="standardContextual"/>
        </w:rPr>
        <w:t xml:space="preserve"> пондера</w:t>
      </w:r>
      <w:r w:rsidR="00B32D89">
        <w:rPr>
          <w:rFonts w:ascii="Segoe UI" w:eastAsia="Calibri" w:hAnsi="Segoe UI" w:cs="Segoe UI"/>
          <w:kern w:val="2"/>
          <w:u w:val="single"/>
          <w:lang w:val="sr-Cyrl-RS"/>
          <w14:ligatures w14:val="standardContextual"/>
        </w:rPr>
        <w:t xml:space="preserve">. </w:t>
      </w: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 </w:t>
      </w:r>
    </w:p>
    <w:p w:rsidR="00B32D89" w:rsidRDefault="00B32D89" w:rsidP="00AA2A38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D61075" w:rsidRDefault="00AA2A38" w:rsidP="00AA2A38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AA2A38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Предметни квалитет ће се бодовати на основу </w:t>
      </w:r>
      <w:r w:rsid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искуства </w:t>
      </w:r>
      <w:r w:rsidR="00F51E5E">
        <w:rPr>
          <w:rFonts w:ascii="Segoe UI" w:eastAsia="Calibri" w:hAnsi="Segoe UI" w:cs="Segoe UI"/>
          <w:kern w:val="2"/>
          <w:lang w:val="sr-Cyrl-RS"/>
          <w14:ligatures w14:val="standardContextual"/>
        </w:rPr>
        <w:t>инжињера</w:t>
      </w:r>
      <w:r w:rsidR="00B32D89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 у оквиру критеријума за избор привредног субјекта ( кадровског капацитета)</w:t>
      </w:r>
      <w:r w:rsidR="00F51E5E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 </w:t>
      </w:r>
      <w:r w:rsid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на изради </w:t>
      </w:r>
      <w:r w:rsid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lastRenderedPageBreak/>
        <w:t>пријектне документације за спортск</w:t>
      </w:r>
      <w:r w:rsidR="00B32D89">
        <w:rPr>
          <w:rFonts w:ascii="Segoe UI" w:eastAsia="Calibri" w:hAnsi="Segoe UI" w:cs="Segoe UI"/>
          <w:kern w:val="2"/>
          <w:lang w:val="sr-Cyrl-RS"/>
          <w14:ligatures w14:val="standardContextual"/>
        </w:rPr>
        <w:t>е објекте јавне намене – базена, на следећи начин:</w:t>
      </w:r>
    </w:p>
    <w:p w:rsidR="00D61075" w:rsidRDefault="00D61075" w:rsidP="00AA2A38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380"/>
      </w:tblGrid>
      <w:tr w:rsidR="00D61075" w:rsidTr="00D61075">
        <w:tc>
          <w:tcPr>
            <w:tcW w:w="7196" w:type="dxa"/>
          </w:tcPr>
          <w:p w:rsidR="00D61075" w:rsidRDefault="00D61075" w:rsidP="00F51E5E">
            <w:pPr>
              <w:jc w:val="both"/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</w:pP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Један </w:t>
            </w:r>
            <w:r w:rsidR="00F51E5E"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(1) </w:t>
            </w: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инжењер да има личну референцу </w:t>
            </w:r>
            <w:r w:rsidR="00F51E5E"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да је </w:t>
            </w: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у задњих 15 година пре истека рока за подношење понуда израдио ( сам или у тиму) пројектну докуменмтацију за </w:t>
            </w:r>
            <w:r w:rsidR="00F51E5E" w:rsidRPr="00F51E5E"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>израду</w:t>
            </w: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 спортских објеката јавне намене- базена</w:t>
            </w:r>
          </w:p>
        </w:tc>
        <w:tc>
          <w:tcPr>
            <w:tcW w:w="2380" w:type="dxa"/>
          </w:tcPr>
          <w:p w:rsidR="00D61075" w:rsidRDefault="00F51E5E" w:rsidP="00AA2A38">
            <w:pPr>
              <w:jc w:val="both"/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</w:pP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>4</w:t>
            </w:r>
            <w:r w:rsidR="00D61075"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 пондера</w:t>
            </w:r>
          </w:p>
        </w:tc>
      </w:tr>
      <w:tr w:rsidR="00D61075" w:rsidTr="00D61075">
        <w:tc>
          <w:tcPr>
            <w:tcW w:w="7196" w:type="dxa"/>
          </w:tcPr>
          <w:p w:rsidR="00D61075" w:rsidRDefault="00D61075" w:rsidP="00AA2A38">
            <w:pPr>
              <w:jc w:val="both"/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</w:pP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>Два</w:t>
            </w:r>
            <w:r w:rsidR="00F51E5E"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>(2)</w:t>
            </w: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 инжењера имају личне референце да су  у задњих 15 година пре истека рока за подношење понуда израдили ( сами или у тиму) пројектну докуменмтацију за израду спортских објеката јавне намене- базена.</w:t>
            </w:r>
          </w:p>
        </w:tc>
        <w:tc>
          <w:tcPr>
            <w:tcW w:w="2380" w:type="dxa"/>
          </w:tcPr>
          <w:p w:rsidR="00D61075" w:rsidRDefault="00F51E5E" w:rsidP="00AA2A38">
            <w:pPr>
              <w:jc w:val="both"/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</w:pP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>8</w:t>
            </w:r>
            <w:r w:rsidR="00D61075"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 пондера</w:t>
            </w:r>
          </w:p>
        </w:tc>
      </w:tr>
      <w:tr w:rsidR="00D61075" w:rsidTr="00D61075">
        <w:tc>
          <w:tcPr>
            <w:tcW w:w="7196" w:type="dxa"/>
          </w:tcPr>
          <w:p w:rsidR="00D61075" w:rsidRDefault="00D61075" w:rsidP="00AA2A38">
            <w:pPr>
              <w:jc w:val="both"/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</w:pP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Три </w:t>
            </w:r>
            <w:r w:rsidR="00F51E5E"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(3) </w:t>
            </w: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>инжењера имају личне референце да су  у задњих 15 година пре истека рока за подношење понуда израдили ( сами или у тиму) пројектну докуменмтацију за израду спортских објеката јавне намене- базена</w:t>
            </w:r>
          </w:p>
        </w:tc>
        <w:tc>
          <w:tcPr>
            <w:tcW w:w="2380" w:type="dxa"/>
          </w:tcPr>
          <w:p w:rsidR="00D61075" w:rsidRDefault="00F51E5E" w:rsidP="00AA2A38">
            <w:pPr>
              <w:jc w:val="both"/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</w:pPr>
            <w:r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>12</w:t>
            </w:r>
            <w:r w:rsidR="00D61075">
              <w:rPr>
                <w:rFonts w:ascii="Segoe UI" w:eastAsia="Calibri" w:hAnsi="Segoe UI" w:cs="Segoe UI"/>
                <w:kern w:val="2"/>
                <w:lang w:val="sr-Cyrl-RS"/>
                <w14:ligatures w14:val="standardContextual"/>
              </w:rPr>
              <w:t xml:space="preserve"> пондера</w:t>
            </w:r>
          </w:p>
        </w:tc>
      </w:tr>
    </w:tbl>
    <w:p w:rsidR="00D61075" w:rsidRDefault="00D61075" w:rsidP="00AA2A38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D61075" w:rsidRPr="00D61075" w:rsidRDefault="00D61075" w:rsidP="00D61075">
      <w:pPr>
        <w:tabs>
          <w:tab w:val="left" w:pos="709"/>
        </w:tabs>
        <w:spacing w:line="259" w:lineRule="auto"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u w:val="single"/>
          <w:lang w:val="sr-Cyrl-RS"/>
          <w14:ligatures w14:val="standardContextual"/>
        </w:rPr>
        <w:t>Уз понуду</w:t>
      </w: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 је потребно доставити следеће доказе за оцењивање овог критеријума:</w:t>
      </w:r>
    </w:p>
    <w:p w:rsidR="00D61075" w:rsidRPr="00D61075" w:rsidRDefault="00D61075" w:rsidP="00D61075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709" w:hanging="425"/>
        <w:contextualSpacing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CV инжењера, из кога се несумњиво може видети које референце у изради </w:t>
      </w:r>
      <w:r w:rsidR="00AC39B1">
        <w:rPr>
          <w:rFonts w:ascii="Segoe UI" w:eastAsia="Calibri" w:hAnsi="Segoe UI" w:cs="Segoe UI"/>
          <w:kern w:val="2"/>
          <w:lang w:val="sr-Cyrl-RS"/>
          <w14:ligatures w14:val="standardContextual"/>
        </w:rPr>
        <w:t>пројектне докуменмтације за израду спортских објеката јавне намене- базена</w:t>
      </w:r>
      <w:r w:rsidR="00AC39B1"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 </w:t>
      </w: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>има то лице;</w:t>
      </w:r>
    </w:p>
    <w:p w:rsidR="00D61075" w:rsidRPr="00D61075" w:rsidRDefault="00D61075" w:rsidP="00D61075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709" w:hanging="425"/>
        <w:contextualSpacing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lang w:val="sr-Cyrl-RS" w:eastAsia="sr-Latn-RS"/>
          <w14:ligatures w14:val="standardContextual"/>
        </w:rPr>
        <w:t xml:space="preserve">Потписане </w:t>
      </w: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потврде наручилаца пројекта </w:t>
      </w:r>
      <w:r w:rsidR="00AC39B1">
        <w:rPr>
          <w:rFonts w:ascii="Segoe UI" w:eastAsia="Calibri" w:hAnsi="Segoe UI" w:cs="Segoe UI"/>
          <w:kern w:val="2"/>
          <w:lang w:val="sr-Cyrl-RS"/>
          <w14:ligatures w14:val="standardContextual"/>
        </w:rPr>
        <w:t>спортских објеката јавне намене- базена</w:t>
      </w: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 у којима су обавезно наведени следећи подаци:</w:t>
      </w:r>
    </w:p>
    <w:p w:rsidR="00D61075" w:rsidRPr="00D61075" w:rsidRDefault="00D61075" w:rsidP="00D61075">
      <w:pPr>
        <w:numPr>
          <w:ilvl w:val="0"/>
          <w:numId w:val="2"/>
        </w:numPr>
        <w:tabs>
          <w:tab w:val="left" w:pos="1701"/>
        </w:tabs>
        <w:spacing w:after="160" w:line="259" w:lineRule="auto"/>
        <w:ind w:firstLine="698"/>
        <w:contextualSpacing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>назив наручиоца</w:t>
      </w:r>
    </w:p>
    <w:p w:rsidR="00D61075" w:rsidRPr="00D61075" w:rsidRDefault="00D61075" w:rsidP="00D61075">
      <w:pPr>
        <w:numPr>
          <w:ilvl w:val="0"/>
          <w:numId w:val="2"/>
        </w:numPr>
        <w:tabs>
          <w:tab w:val="left" w:pos="1701"/>
        </w:tabs>
        <w:spacing w:after="160" w:line="259" w:lineRule="auto"/>
        <w:ind w:firstLine="698"/>
        <w:contextualSpacing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датум закључења уговора и време извршења услуге </w:t>
      </w:r>
    </w:p>
    <w:p w:rsidR="00D61075" w:rsidRPr="00D61075" w:rsidRDefault="00D61075" w:rsidP="00D61075">
      <w:pPr>
        <w:numPr>
          <w:ilvl w:val="0"/>
          <w:numId w:val="2"/>
        </w:numPr>
        <w:tabs>
          <w:tab w:val="left" w:pos="1701"/>
        </w:tabs>
        <w:spacing w:after="160" w:line="259" w:lineRule="auto"/>
        <w:ind w:firstLine="698"/>
        <w:contextualSpacing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>назив и кратак опис пројекта</w:t>
      </w:r>
    </w:p>
    <w:p w:rsidR="00D61075" w:rsidRPr="00D61075" w:rsidRDefault="00D61075" w:rsidP="00D61075">
      <w:pPr>
        <w:numPr>
          <w:ilvl w:val="0"/>
          <w:numId w:val="2"/>
        </w:numPr>
        <w:tabs>
          <w:tab w:val="left" w:pos="1701"/>
        </w:tabs>
        <w:spacing w:after="160" w:line="259" w:lineRule="auto"/>
        <w:ind w:firstLine="698"/>
        <w:contextualSpacing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>који објекат је био предмет пројекта</w:t>
      </w:r>
    </w:p>
    <w:p w:rsidR="00D61075" w:rsidRPr="00D61075" w:rsidRDefault="00D61075" w:rsidP="00D61075">
      <w:pPr>
        <w:numPr>
          <w:ilvl w:val="0"/>
          <w:numId w:val="2"/>
        </w:numPr>
        <w:tabs>
          <w:tab w:val="left" w:pos="1701"/>
        </w:tabs>
        <w:spacing w:after="160" w:line="259" w:lineRule="auto"/>
        <w:ind w:firstLine="698"/>
        <w:contextualSpacing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>име и презиме лица које је као пројектант учествовало у изради документације</w:t>
      </w:r>
    </w:p>
    <w:p w:rsidR="00D61075" w:rsidRPr="00D61075" w:rsidRDefault="00D61075" w:rsidP="00D61075">
      <w:pPr>
        <w:numPr>
          <w:ilvl w:val="0"/>
          <w:numId w:val="2"/>
        </w:numPr>
        <w:tabs>
          <w:tab w:val="left" w:pos="1701"/>
        </w:tabs>
        <w:spacing w:after="160" w:line="259" w:lineRule="auto"/>
        <w:ind w:firstLine="698"/>
        <w:contextualSpacing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>особа за контакт наручиоца, њен е-маил и контакт телефон.</w:t>
      </w:r>
    </w:p>
    <w:p w:rsidR="00D61075" w:rsidRPr="00D61075" w:rsidRDefault="00D61075" w:rsidP="00D61075">
      <w:pPr>
        <w:tabs>
          <w:tab w:val="left" w:pos="709"/>
        </w:tabs>
        <w:spacing w:after="160" w:line="259" w:lineRule="auto"/>
        <w:ind w:firstLine="567"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D61075" w:rsidRPr="00D61075" w:rsidRDefault="00D61075" w:rsidP="00D61075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u w:val="single"/>
          <w:lang w:val="sr-Cyrl-RS"/>
          <w14:ligatures w14:val="standardContextual"/>
        </w:rPr>
        <w:t>Посебна напомена: Докази који не садрже све тражене податке се неће узети у разматрање</w:t>
      </w: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. </w:t>
      </w:r>
    </w:p>
    <w:p w:rsidR="00D61075" w:rsidRPr="00D61075" w:rsidRDefault="00D61075" w:rsidP="00D61075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D61075" w:rsidRPr="00D61075" w:rsidRDefault="00D61075" w:rsidP="00D61075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D61075">
        <w:rPr>
          <w:rFonts w:ascii="Segoe UI" w:eastAsia="Calibri" w:hAnsi="Segoe UI" w:cs="Segoe UI"/>
          <w:kern w:val="2"/>
          <w:lang w:val="sr-Cyrl-RS"/>
          <w14:ligatures w14:val="standardContextual"/>
        </w:rPr>
        <w:t>Након оцена понуда по оба критеријума, наручилац ће добијене пондере сабрати, те понуђачу који оствари највећи број пондера доделити уговор о јавној набавци.</w:t>
      </w:r>
    </w:p>
    <w:p w:rsidR="00D61075" w:rsidRPr="00D61075" w:rsidRDefault="00D61075" w:rsidP="00D61075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D61075" w:rsidRPr="00D61075" w:rsidRDefault="00D61075" w:rsidP="00D61075">
      <w:pPr>
        <w:spacing w:after="160" w:line="259" w:lineRule="auto"/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AA2A38" w:rsidRDefault="00AA2A38" w:rsidP="00AA2A38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  <w:r w:rsidRPr="003744E0">
        <w:rPr>
          <w:rFonts w:ascii="Segoe UI" w:eastAsia="Calibri" w:hAnsi="Segoe UI" w:cs="Segoe UI"/>
          <w:b/>
          <w:kern w:val="2"/>
          <w:lang w:val="sr-Cyrl-RS"/>
          <w14:ligatures w14:val="standardContextual"/>
        </w:rPr>
        <w:lastRenderedPageBreak/>
        <w:t xml:space="preserve">Тражене доказе понуђач је дужан да достави у електронској понуди путем Портала јавних набавки. Понуђач који не достави доказе </w:t>
      </w:r>
      <w:r w:rsidR="006B3C0D" w:rsidRPr="003744E0">
        <w:rPr>
          <w:rFonts w:ascii="Segoe UI" w:eastAsia="Calibri" w:hAnsi="Segoe UI" w:cs="Segoe UI"/>
          <w:b/>
          <w:kern w:val="2"/>
          <w:lang w:val="sr-Cyrl-RS"/>
          <w14:ligatures w14:val="standardContextual"/>
        </w:rPr>
        <w:t>у електронској понуди</w:t>
      </w:r>
      <w:r w:rsidRPr="003744E0">
        <w:rPr>
          <w:rFonts w:ascii="Segoe UI" w:eastAsia="Calibri" w:hAnsi="Segoe UI" w:cs="Segoe UI"/>
          <w:b/>
          <w:kern w:val="2"/>
          <w:lang w:val="sr-Cyrl-RS"/>
          <w14:ligatures w14:val="standardContextual"/>
        </w:rPr>
        <w:t xml:space="preserve"> биће вреднован са 0 ( нула) бодова</w:t>
      </w:r>
      <w:r w:rsidRPr="00AA2A38">
        <w:rPr>
          <w:rFonts w:ascii="Segoe UI" w:eastAsia="Calibri" w:hAnsi="Segoe UI" w:cs="Segoe UI"/>
          <w:kern w:val="2"/>
          <w:lang w:val="sr-Cyrl-RS"/>
          <w14:ligatures w14:val="standardContextual"/>
        </w:rPr>
        <w:t>.</w:t>
      </w:r>
    </w:p>
    <w:p w:rsidR="00FA69D0" w:rsidRPr="00AA2A38" w:rsidRDefault="00FA69D0" w:rsidP="00AA2A38">
      <w:pPr>
        <w:jc w:val="both"/>
        <w:rPr>
          <w:rFonts w:ascii="Segoe UI" w:eastAsia="Calibri" w:hAnsi="Segoe UI" w:cs="Segoe UI"/>
          <w:kern w:val="2"/>
          <w:lang w:val="sr-Cyrl-RS"/>
          <w14:ligatures w14:val="standardContextual"/>
        </w:rPr>
      </w:pPr>
    </w:p>
    <w:p w:rsidR="006C346A" w:rsidRDefault="00D423C5"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Након оцена понуда по оба критеријума, наручилац ће добијене пондере сабрати, </w:t>
      </w:r>
      <w:r w:rsidR="006B3C0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извршити рангирање и </w:t>
      </w:r>
      <w:r w:rsidRPr="00E4252D">
        <w:rPr>
          <w:rFonts w:ascii="Segoe UI" w:eastAsia="Calibri" w:hAnsi="Segoe UI" w:cs="Segoe UI"/>
          <w:kern w:val="2"/>
          <w:lang w:val="sr-Cyrl-RS"/>
          <w14:ligatures w14:val="standardContextual"/>
        </w:rPr>
        <w:t xml:space="preserve"> понуђачу који оствари највећи број пондера доделити уговор о јавној набавци</w:t>
      </w:r>
      <w:r>
        <w:rPr>
          <w:rFonts w:ascii="Segoe UI" w:eastAsia="Calibri" w:hAnsi="Segoe UI" w:cs="Segoe UI"/>
          <w:kern w:val="2"/>
          <w:lang w:val="sr-Cyrl-RS"/>
          <w14:ligatures w14:val="standardContextual"/>
        </w:rPr>
        <w:t>.</w:t>
      </w:r>
      <w:bookmarkStart w:id="0" w:name="_GoBack"/>
      <w:bookmarkEnd w:id="0"/>
    </w:p>
    <w:sectPr w:rsidR="006C34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B17"/>
    <w:multiLevelType w:val="hybridMultilevel"/>
    <w:tmpl w:val="3F02A0EE"/>
    <w:lvl w:ilvl="0" w:tplc="149A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4930"/>
    <w:multiLevelType w:val="hybridMultilevel"/>
    <w:tmpl w:val="F9C476BA"/>
    <w:lvl w:ilvl="0" w:tplc="9698B83C">
      <w:numFmt w:val="bullet"/>
      <w:lvlText w:val="•"/>
      <w:lvlJc w:val="left"/>
      <w:pPr>
        <w:ind w:left="720" w:hanging="360"/>
      </w:pPr>
      <w:rPr>
        <w:rFonts w:hint="default"/>
        <w:lang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D3A5D"/>
    <w:multiLevelType w:val="hybridMultilevel"/>
    <w:tmpl w:val="0BF63AFE"/>
    <w:lvl w:ilvl="0" w:tplc="A2D0AD68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22EA1"/>
    <w:multiLevelType w:val="hybridMultilevel"/>
    <w:tmpl w:val="43B6032A"/>
    <w:lvl w:ilvl="0" w:tplc="A120B0B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80"/>
    <w:rsid w:val="003744E0"/>
    <w:rsid w:val="003B2D1E"/>
    <w:rsid w:val="003E1770"/>
    <w:rsid w:val="00586DC7"/>
    <w:rsid w:val="00592021"/>
    <w:rsid w:val="00645282"/>
    <w:rsid w:val="006B3C0D"/>
    <w:rsid w:val="006C31EF"/>
    <w:rsid w:val="006C346A"/>
    <w:rsid w:val="006E466A"/>
    <w:rsid w:val="0074339B"/>
    <w:rsid w:val="0082786D"/>
    <w:rsid w:val="0087434F"/>
    <w:rsid w:val="00AA2A38"/>
    <w:rsid w:val="00AC39B1"/>
    <w:rsid w:val="00AD5B80"/>
    <w:rsid w:val="00AE3E43"/>
    <w:rsid w:val="00B223EA"/>
    <w:rsid w:val="00B32D89"/>
    <w:rsid w:val="00BB09C1"/>
    <w:rsid w:val="00D423C5"/>
    <w:rsid w:val="00D61075"/>
    <w:rsid w:val="00EF43D4"/>
    <w:rsid w:val="00F51E5E"/>
    <w:rsid w:val="00FA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339B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3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4339B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4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Mitrovic</dc:creator>
  <cp:keywords/>
  <dc:description/>
  <cp:lastModifiedBy>Ruzica Mitrovic</cp:lastModifiedBy>
  <cp:revision>27</cp:revision>
  <cp:lastPrinted>2025-08-07T10:06:00Z</cp:lastPrinted>
  <dcterms:created xsi:type="dcterms:W3CDTF">2025-08-07T07:47:00Z</dcterms:created>
  <dcterms:modified xsi:type="dcterms:W3CDTF">2026-05-20T12:09:00Z</dcterms:modified>
</cp:coreProperties>
</file>