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0"/>
          <w:szCs w:val="20"/>
          <w:lang w:val="sr-RS"/>
        </w:rPr>
      </w:pPr>
      <w:r>
        <w:rPr>
          <w:rFonts w:cs="Times New Roman" w:ascii="Times New Roman" w:hAnsi="Times New Roman"/>
          <w:b/>
          <w:bCs/>
          <w:sz w:val="20"/>
          <w:szCs w:val="20"/>
          <w:lang w:val="sr-RS"/>
        </w:rPr>
        <w:t>КРИТЕРИЈУМ ЗА ДОДЕЛУ УГОВОРА</w:t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sr-RS"/>
        </w:rPr>
      </w:pPr>
      <w:r>
        <w:rPr>
          <w:rFonts w:cs="Times New Roman" w:ascii="Times New Roman" w:hAnsi="Times New Roman"/>
          <w:sz w:val="20"/>
          <w:szCs w:val="20"/>
          <w:lang w:val="sr-RS"/>
        </w:rPr>
      </w:r>
    </w:p>
    <w:p>
      <w:pPr>
        <w:pStyle w:val="NormalWeb"/>
        <w:spacing w:before="280" w:after="280"/>
        <w:ind w:left="1531" w:hanging="1531"/>
        <w:jc w:val="both"/>
        <w:rPr>
          <w:b/>
          <w:b/>
          <w:bCs/>
          <w:color w:val="00000A"/>
          <w:sz w:val="20"/>
          <w:szCs w:val="20"/>
          <w:lang w:val="uz-Cyrl-UZ"/>
        </w:rPr>
      </w:pPr>
      <w:r>
        <w:rPr>
          <w:sz w:val="20"/>
          <w:szCs w:val="20"/>
        </w:rPr>
        <w:t>Назив поступка: Избор приватног партнера за поверавање комуналне делатности за реконструкцију, рехабилитацију и одржавање локалне путне инфраструктуре на територији општине Рума по моделу јавно-приватног партнерства</w:t>
      </w:r>
    </w:p>
    <w:p>
      <w:pPr>
        <w:pStyle w:val="NormalWeb"/>
        <w:spacing w:before="280" w:after="280"/>
        <w:rPr>
          <w:b/>
          <w:b/>
          <w:bCs/>
          <w:sz w:val="20"/>
          <w:szCs w:val="20"/>
          <w:lang w:val="sr-RS"/>
        </w:rPr>
      </w:pPr>
      <w:r>
        <w:rPr>
          <w:b/>
          <w:bCs/>
          <w:sz w:val="20"/>
          <w:szCs w:val="20"/>
        </w:rPr>
        <w:br/>
      </w:r>
      <w:r>
        <w:rPr>
          <w:sz w:val="20"/>
          <w:szCs w:val="20"/>
        </w:rPr>
        <w:t xml:space="preserve">Референтни број: </w:t>
      </w:r>
    </w:p>
    <w:p>
      <w:pPr>
        <w:pStyle w:val="TextBody"/>
        <w:spacing w:before="2" w:after="0"/>
        <w:rPr>
          <w:rFonts w:ascii="Times New Roman" w:hAnsi="Times New Roman"/>
          <w:sz w:val="20"/>
          <w:szCs w:val="20"/>
          <w:lang w:val="sr-RS"/>
        </w:rPr>
      </w:pPr>
      <w:r>
        <w:rPr>
          <w:rFonts w:ascii="Times New Roman" w:hAnsi="Times New Roman"/>
          <w:sz w:val="20"/>
          <w:szCs w:val="20"/>
          <w:lang w:val="sr-RS"/>
        </w:rPr>
      </w:r>
    </w:p>
    <w:p>
      <w:pPr>
        <w:pStyle w:val="TextBody"/>
        <w:spacing w:before="240" w:after="240"/>
        <w:rPr>
          <w:rFonts w:ascii="Times New Roman" w:hAnsi="Times New Roman"/>
          <w:sz w:val="20"/>
          <w:szCs w:val="20"/>
          <w:lang w:val="sr-RS"/>
        </w:rPr>
      </w:pPr>
      <w:r>
        <w:rPr>
          <w:rFonts w:ascii="Times New Roman" w:hAnsi="Times New Roman"/>
          <w:sz w:val="20"/>
          <w:szCs w:val="20"/>
          <w:lang w:val="sr-RS"/>
        </w:rPr>
        <w:t>Критеријуми за оцењивање понуда су, сходно члану 132. Закона о јавним набавкама, економски најповољнија понуда, која ће се заснивати критеријуму односа цене и квалитета у виду рока трајања периода извођења радова:</w:t>
      </w:r>
    </w:p>
    <w:p>
      <w:pPr>
        <w:pStyle w:val="TextBody"/>
        <w:numPr>
          <w:ilvl w:val="0"/>
          <w:numId w:val="1"/>
        </w:numPr>
        <w:spacing w:before="240" w:after="240"/>
        <w:rPr>
          <w:rFonts w:ascii="Times New Roman" w:hAnsi="Times New Roman"/>
          <w:color w:val="000000"/>
          <w:sz w:val="20"/>
          <w:szCs w:val="20"/>
          <w:lang w:val="sr-RS" w:eastAsia="uz-Cyrl-UZ"/>
        </w:rPr>
      </w:pPr>
      <w:r>
        <w:rPr>
          <w:rFonts w:ascii="Times New Roman" w:hAnsi="Times New Roman"/>
          <w:sz w:val="20"/>
          <w:szCs w:val="20"/>
          <w:lang w:val="sr-RS"/>
        </w:rPr>
        <w:t>Укупна накнада за обезбеђивање доступности путне инфраструктуре</w:t>
      </w:r>
      <w:r>
        <w:rPr>
          <w:rFonts w:ascii="Times New Roman" w:hAnsi="Times New Roman"/>
          <w:sz w:val="20"/>
          <w:szCs w:val="20"/>
          <w:lang w:val="sr-Latn-RS"/>
        </w:rPr>
        <w:t xml:space="preserve"> </w:t>
      </w:r>
      <w:r>
        <w:rPr>
          <w:rFonts w:ascii="Times New Roman" w:hAnsi="Times New Roman"/>
          <w:sz w:val="20"/>
          <w:szCs w:val="20"/>
          <w:lang w:val="sr-RS"/>
        </w:rPr>
        <w:t xml:space="preserve">током трајања уговора </w:t>
      </w: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>без обрачунатог ПДВ-а</w:t>
      </w:r>
      <w:r>
        <w:rPr>
          <w:rFonts w:ascii="Times New Roman" w:hAnsi="Times New Roman"/>
          <w:color w:val="000000"/>
          <w:sz w:val="20"/>
          <w:szCs w:val="20"/>
          <w:lang w:val="sr-Latn-RS" w:eastAsia="uz-Cyrl-UZ"/>
        </w:rPr>
        <w:t xml:space="preserve"> – 95 </w:t>
      </w: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>пондера</w:t>
      </w:r>
    </w:p>
    <w:p>
      <w:pPr>
        <w:pStyle w:val="TextBody"/>
        <w:numPr>
          <w:ilvl w:val="0"/>
          <w:numId w:val="1"/>
        </w:numPr>
        <w:spacing w:before="240" w:after="240"/>
        <w:rPr>
          <w:rFonts w:ascii="Times New Roman" w:hAnsi="Times New Roman"/>
          <w:color w:val="000000"/>
          <w:sz w:val="20"/>
          <w:szCs w:val="20"/>
          <w:lang w:val="sr-RS" w:eastAsia="uz-Cyrl-UZ"/>
        </w:rPr>
      </w:pP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 xml:space="preserve">Рок трајања периода извођења радова (не дуже од 48 месеци)  – 5 пондера </w:t>
      </w:r>
    </w:p>
    <w:p>
      <w:pPr>
        <w:pStyle w:val="TextBody"/>
        <w:spacing w:before="240" w:after="240"/>
        <w:ind w:left="720" w:hanging="0"/>
        <w:rPr>
          <w:rFonts w:ascii="Times New Roman" w:hAnsi="Times New Roman"/>
          <w:color w:val="000000"/>
          <w:sz w:val="20"/>
          <w:szCs w:val="20"/>
          <w:lang w:val="sr-RS" w:eastAsia="uz-Cyrl-UZ"/>
        </w:rPr>
      </w:pP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</w:r>
    </w:p>
    <w:p>
      <w:pPr>
        <w:pStyle w:val="TextBody"/>
        <w:numPr>
          <w:ilvl w:val="0"/>
          <w:numId w:val="2"/>
        </w:numPr>
        <w:spacing w:before="240" w:after="240"/>
        <w:rPr>
          <w:rFonts w:ascii="Times New Roman" w:hAnsi="Times New Roman"/>
          <w:b/>
          <w:b/>
          <w:bCs/>
          <w:color w:val="000000"/>
          <w:sz w:val="20"/>
          <w:szCs w:val="20"/>
          <w:lang w:val="sr-RS" w:eastAsia="uz-Cyrl-UZ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val="sr-RS" w:eastAsia="uz-Cyrl-UZ"/>
        </w:rPr>
        <w:t>Накнада за обезбеђивање доступности путне инфраструктуре током трајања уговора без обрачунатог ПДВ-а</w:t>
      </w:r>
    </w:p>
    <w:p>
      <w:pPr>
        <w:pStyle w:val="TextBody"/>
        <w:spacing w:before="240" w:after="240"/>
        <w:rPr>
          <w:rFonts w:ascii="Times New Roman" w:hAnsi="Times New Roman"/>
          <w:b/>
          <w:b/>
          <w:bCs/>
          <w:color w:val="000000"/>
          <w:sz w:val="20"/>
          <w:szCs w:val="20"/>
          <w:lang w:val="sr-RS" w:eastAsia="uz-Cyrl-UZ"/>
        </w:rPr>
      </w:pPr>
      <w:r>
        <w:rPr>
          <w:rFonts w:ascii="Times New Roman" w:hAnsi="Times New Roman"/>
          <w:sz w:val="20"/>
          <w:szCs w:val="20"/>
          <w:lang w:val="sr-RS" w:eastAsia="zh-CN"/>
        </w:rPr>
        <w:t xml:space="preserve">Оцена сваке понуде врши се тако што се понуда са најнижом </w:t>
      </w:r>
      <w:r>
        <w:rPr>
          <w:rFonts w:ascii="Times New Roman" w:hAnsi="Times New Roman"/>
          <w:b/>
          <w:bCs/>
          <w:color w:val="000000"/>
          <w:sz w:val="20"/>
          <w:szCs w:val="20"/>
          <w:lang w:val="sr-RS" w:eastAsia="uz-Cyrl-UZ"/>
        </w:rPr>
        <w:t>Накнадом за обезбеђивање доступности путне инфраструктуре током трајања уговора без обрачунатог ПДВ-а</w:t>
      </w:r>
      <w:r>
        <w:rPr>
          <w:rFonts w:ascii="Times New Roman" w:hAnsi="Times New Roman"/>
          <w:sz w:val="20"/>
          <w:szCs w:val="20"/>
          <w:lang w:val="sr-RS" w:eastAsia="zh-CN"/>
        </w:rPr>
        <w:t xml:space="preserve"> вреднује са максималним бројем пондера предвиђених за подкритеријум </w:t>
      </w:r>
      <w:r>
        <w:rPr>
          <w:rFonts w:ascii="Times New Roman" w:hAnsi="Times New Roman"/>
          <w:b/>
          <w:bCs/>
          <w:color w:val="000000"/>
          <w:sz w:val="20"/>
          <w:szCs w:val="20"/>
          <w:lang w:val="sr-RS" w:eastAsia="uz-Cyrl-UZ"/>
        </w:rPr>
        <w:t>Накнада за обезбеђивање доступности путне инфраструктуре током трајања уговора без обрачунатог ПДВ-а</w:t>
      </w:r>
      <w:r>
        <w:rPr>
          <w:rFonts w:ascii="Times New Roman" w:hAnsi="Times New Roman"/>
          <w:sz w:val="20"/>
          <w:szCs w:val="20"/>
          <w:lang w:val="sr-RS" w:eastAsia="zh-CN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За остале понуде број пондера се израчунава тако што се понуда са најнижом понуђеном </w:t>
      </w: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>Накнадом за обезбеђивање доступности путне инфраструктуре током трајања уговора без обрачунатог ПДВ-а</w:t>
      </w: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 подели са понуђеном </w:t>
      </w: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>Накнадом за обезбеђивање доступности путне инфраструктуре током трајања уговора без обрачунатог ПДВ-а</w:t>
      </w: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 понуђача чија се понуда разматра, па се тако добијена вредност помножи са максималним бројем пондера, према следећој формули: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најнижа понуђена Накнада за обезбеђивање доступности путне инфраструктуре током трајања уговора без обрачунатог ПДВ-а 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Број пондера = </w:t>
      </w:r>
      <w:r>
        <w:rPr>
          <w:rFonts w:cs="Times New Roman" w:ascii="Times New Roman" w:hAnsi="Times New Roman"/>
          <w:bCs/>
          <w:sz w:val="20"/>
          <w:szCs w:val="20"/>
          <w:lang w:val="sr-BA"/>
        </w:rPr>
        <w:t>–––––––––––––––––––––––––––––––––––––––––––––––––––––– х 95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  <w:t>понуђена Накнада за обезбеђивање доступности путне инфраструктуре током трајања уговора без обрачунатог ПДВ-а понуде која се рангира</w:t>
      </w:r>
    </w:p>
    <w:p>
      <w:pPr>
        <w:pStyle w:val="TextBody"/>
        <w:spacing w:before="240" w:after="240"/>
        <w:rPr>
          <w:rFonts w:ascii="Times New Roman" w:hAnsi="Times New Roman"/>
          <w:b/>
          <w:b/>
          <w:bCs/>
          <w:color w:val="000000"/>
          <w:sz w:val="20"/>
          <w:szCs w:val="20"/>
          <w:lang w:val="sr-RS" w:eastAsia="uz-Cyrl-UZ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val="sr-RS" w:eastAsia="uz-Cyrl-UZ"/>
        </w:rPr>
      </w:r>
    </w:p>
    <w:p>
      <w:pPr>
        <w:pStyle w:val="TextBody"/>
        <w:numPr>
          <w:ilvl w:val="0"/>
          <w:numId w:val="2"/>
        </w:numPr>
        <w:spacing w:before="240" w:after="240"/>
        <w:rPr>
          <w:rFonts w:ascii="Times New Roman" w:hAnsi="Times New Roman"/>
          <w:b/>
          <w:b/>
          <w:bCs/>
          <w:color w:val="000000"/>
          <w:sz w:val="20"/>
          <w:szCs w:val="20"/>
          <w:lang w:val="sr-RS" w:eastAsia="uz-Cyrl-UZ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val="sr-RS" w:eastAsia="uz-Cyrl-UZ"/>
        </w:rPr>
        <w:t>Рок трајања периода извођења радова (не дуже од 48 месеци)</w:t>
      </w:r>
    </w:p>
    <w:p>
      <w:pPr>
        <w:pStyle w:val="TextBody"/>
        <w:spacing w:before="240" w:after="240"/>
        <w:rPr>
          <w:rFonts w:ascii="Times New Roman" w:hAnsi="Times New Roman"/>
          <w:b/>
          <w:b/>
          <w:bCs/>
          <w:color w:val="000000"/>
          <w:sz w:val="20"/>
          <w:szCs w:val="20"/>
          <w:lang w:val="sr-RS" w:eastAsia="uz-Cyrl-UZ"/>
        </w:rPr>
      </w:pPr>
      <w:r>
        <w:rPr>
          <w:rFonts w:ascii="Times New Roman" w:hAnsi="Times New Roman"/>
          <w:sz w:val="20"/>
          <w:szCs w:val="20"/>
          <w:lang w:val="sr-RS" w:eastAsia="zh-CN"/>
        </w:rPr>
        <w:t xml:space="preserve">Оцена сваке понуде врши се тако што се понуда са најкраћим </w:t>
      </w: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 xml:space="preserve">Роком трајања периода извођења радова </w:t>
      </w:r>
      <w:r>
        <w:rPr>
          <w:rFonts w:ascii="Times New Roman" w:hAnsi="Times New Roman"/>
          <w:sz w:val="20"/>
          <w:szCs w:val="20"/>
          <w:lang w:val="sr-RS" w:eastAsia="zh-CN"/>
        </w:rPr>
        <w:t xml:space="preserve">вреднује са максималним бројем пондера предвиђених за подкритеријум </w:t>
      </w:r>
      <w:r>
        <w:rPr>
          <w:rFonts w:ascii="Times New Roman" w:hAnsi="Times New Roman"/>
          <w:b/>
          <w:bCs/>
          <w:color w:val="000000"/>
          <w:sz w:val="20"/>
          <w:szCs w:val="20"/>
          <w:lang w:val="sr-RS" w:eastAsia="uz-Cyrl-UZ"/>
        </w:rPr>
        <w:t>Рок трајања периода извођења радова.</w:t>
      </w: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За остале понуде број пондера се израчунава тако што се понуда са најкраћим понуђеним </w:t>
      </w: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>Роком трајања периода извођења радова</w:t>
      </w: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 подели са понуђеним </w:t>
      </w: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>Роком трајања периода извођења радова</w:t>
      </w: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 понуђача чија се понуда разматра, па се тако добијена вредност помножи са максималним бројем пондера, према следећој формули: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ascii="Times New Roman" w:hAnsi="Times New Roman"/>
          <w:sz w:val="20"/>
          <w:szCs w:val="20"/>
          <w:lang w:val="sr-RS" w:eastAsia="zh-CN"/>
        </w:rPr>
        <w:t xml:space="preserve">најкраћи </w:t>
      </w: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>Рок трајања периода извођења радова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Број пондера = </w:t>
      </w:r>
      <w:r>
        <w:rPr>
          <w:rFonts w:cs="Times New Roman" w:ascii="Times New Roman" w:hAnsi="Times New Roman"/>
          <w:bCs/>
          <w:sz w:val="20"/>
          <w:szCs w:val="20"/>
          <w:lang w:val="sr-BA"/>
        </w:rPr>
        <w:t>–––––––––––––––––––––––––––––––––––––––––––––––––––––– х 5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  <w:lang w:val="sr-RS" w:eastAsia="zh-CN"/>
        </w:rPr>
      </w:pP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понуђени </w:t>
      </w:r>
      <w:r>
        <w:rPr>
          <w:rFonts w:ascii="Times New Roman" w:hAnsi="Times New Roman"/>
          <w:color w:val="000000"/>
          <w:sz w:val="20"/>
          <w:szCs w:val="20"/>
          <w:lang w:val="sr-RS" w:eastAsia="uz-Cyrl-UZ"/>
        </w:rPr>
        <w:t>Рок трајања периода извођења радова</w:t>
      </w:r>
      <w:r>
        <w:rPr>
          <w:rFonts w:cs="Times New Roman" w:ascii="Times New Roman" w:hAnsi="Times New Roman"/>
          <w:sz w:val="20"/>
          <w:szCs w:val="20"/>
          <w:lang w:val="sr-RS" w:eastAsia="zh-CN"/>
        </w:rPr>
        <w:t xml:space="preserve"> понуде која се рангира</w:t>
      </w:r>
    </w:p>
    <w:p>
      <w:pPr>
        <w:pStyle w:val="TextBody"/>
        <w:spacing w:before="240" w:after="240"/>
        <w:rPr>
          <w:rFonts w:ascii="Times New Roman" w:hAnsi="Times New Roman" w:eastAsia="SimSun"/>
          <w:kern w:val="2"/>
          <w:sz w:val="20"/>
          <w:szCs w:val="20"/>
          <w:lang w:val="sr-RS" w:eastAsia="zh-CN" w:bidi="hi-IN"/>
        </w:rPr>
      </w:pPr>
      <w:r>
        <w:rPr>
          <w:rFonts w:eastAsia="SimSun" w:ascii="Times New Roman" w:hAnsi="Times New Roman"/>
          <w:kern w:val="2"/>
          <w:sz w:val="20"/>
          <w:szCs w:val="20"/>
          <w:lang w:val="sr-RS" w:eastAsia="zh-CN" w:bidi="hi-IN"/>
        </w:rPr>
      </w:r>
    </w:p>
    <w:p>
      <w:pPr>
        <w:pStyle w:val="TextBody"/>
        <w:spacing w:before="240" w:after="240"/>
        <w:rPr>
          <w:rFonts w:ascii="Times New Roman" w:hAnsi="Times New Roman" w:eastAsia="SimSun"/>
          <w:kern w:val="2"/>
          <w:sz w:val="20"/>
          <w:szCs w:val="20"/>
          <w:lang w:val="sr-RS" w:eastAsia="zh-CN" w:bidi="hi-IN"/>
        </w:rPr>
      </w:pPr>
      <w:r>
        <w:rPr>
          <w:rFonts w:eastAsia="SimSun" w:ascii="Times New Roman" w:hAnsi="Times New Roman"/>
          <w:kern w:val="2"/>
          <w:sz w:val="20"/>
          <w:szCs w:val="20"/>
          <w:lang w:val="sr-RS" w:eastAsia="zh-CN" w:bidi="hi-IN"/>
        </w:rPr>
        <w:t>Ако је у понуди исказана неуобичајено ниска/висока вредност накнаде, Наручилац ће поступити у складу са чланом 143. Закона о јавним набавкама.</w:t>
      </w:r>
    </w:p>
    <w:p>
      <w:pPr>
        <w:pStyle w:val="Normal"/>
        <w:spacing w:before="240" w:after="240"/>
        <w:jc w:val="center"/>
        <w:rPr>
          <w:rFonts w:ascii="Times New Roman" w:hAnsi="Times New Roman" w:eastAsia="Calibri" w:cs="Times New Roman"/>
          <w:b/>
          <w:b/>
          <w:sz w:val="20"/>
          <w:szCs w:val="20"/>
          <w:lang w:val="sr-RS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8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103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Char" w:customStyle="1">
    <w:name w:val="Body Text Char"/>
    <w:basedOn w:val="DefaultParagraphFont"/>
    <w:link w:val="BodyText"/>
    <w:uiPriority w:val="99"/>
    <w:qFormat/>
    <w:rsid w:val="009d1036"/>
    <w:rPr>
      <w:rFonts w:eastAsia="Times New Roman" w:cs="Times New Roman"/>
      <w:lang w:val="en-US"/>
    </w:rPr>
  </w:style>
  <w:style w:type="character" w:styleId="ListParagraphChar" w:customStyle="1">
    <w:name w:val="List Paragraph Char"/>
    <w:basedOn w:val="DefaultParagraphFont"/>
    <w:link w:val="ListParagraph"/>
    <w:uiPriority w:val="1"/>
    <w:qFormat/>
    <w:rsid w:val="009d1036"/>
    <w:rPr>
      <w:rFonts w:eastAsia="Times New Roman" w:cs="Times New Roman"/>
      <w:sz w:val="22"/>
      <w:szCs w:val="22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017562"/>
    <w:rPr>
      <w:rFonts w:ascii="Segoe UI" w:hAnsi="Segoe UI" w:cs="Segoe UI"/>
      <w:sz w:val="18"/>
      <w:szCs w:val="18"/>
      <w:lang w:val="en-GB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81beb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f81beb"/>
    <w:rPr>
      <w:sz w:val="20"/>
      <w:szCs w:val="20"/>
      <w:lang w:val="en-GB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f81beb"/>
    <w:rPr>
      <w:b/>
      <w:bCs/>
      <w:sz w:val="20"/>
      <w:szCs w:val="20"/>
      <w:lang w:val="en-GB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f66333"/>
    <w:rPr>
      <w:sz w:val="20"/>
      <w:szCs w:val="20"/>
      <w:lang w:val="en-GB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f66333"/>
    <w:rPr>
      <w:vertAlign w:val="superscript"/>
    </w:rPr>
  </w:style>
  <w:style w:type="character" w:styleId="FootnoteAnchor">
    <w:name w:val="Footnote Anchor"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BodyTextChar"/>
    <w:uiPriority w:val="99"/>
    <w:qFormat/>
    <w:rsid w:val="009d1036"/>
    <w:pPr>
      <w:widowControl w:val="false"/>
      <w:jc w:val="both"/>
    </w:pPr>
    <w:rPr>
      <w:rFonts w:eastAsia="Times New Roman" w:cs="Times New Roman"/>
      <w:lang w:val="en-US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d103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GB" w:eastAsia="en-US" w:bidi="ar-SA"/>
    </w:rPr>
  </w:style>
  <w:style w:type="paragraph" w:styleId="Standard" w:customStyle="1">
    <w:name w:val="Standard"/>
    <w:qFormat/>
    <w:rsid w:val="009d103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Arial"/>
      <w:color w:val="auto"/>
      <w:kern w:val="2"/>
      <w:sz w:val="24"/>
      <w:szCs w:val="24"/>
      <w:lang w:val="en-GB" w:eastAsia="zh-CN" w:bidi="hi-IN"/>
    </w:rPr>
  </w:style>
  <w:style w:type="paragraph" w:styleId="NormalText" w:customStyle="1">
    <w:name w:val="Normal Text"/>
    <w:basedOn w:val="Normal"/>
    <w:uiPriority w:val="99"/>
    <w:qFormat/>
    <w:rsid w:val="009d1036"/>
    <w:pPr>
      <w:spacing w:before="240" w:after="120"/>
      <w:jc w:val="both"/>
    </w:pPr>
    <w:rPr>
      <w:rFonts w:eastAsia="Times New Roman" w:cs="Times New Roman"/>
      <w:sz w:val="22"/>
      <w:szCs w:val="20"/>
      <w:lang w:eastAsia="en-GB" w:bidi="en-GB"/>
    </w:rPr>
  </w:style>
  <w:style w:type="paragraph" w:styleId="ListParagraph">
    <w:name w:val="List Paragraph"/>
    <w:basedOn w:val="Normal"/>
    <w:link w:val="ListParagraphChar"/>
    <w:uiPriority w:val="1"/>
    <w:qFormat/>
    <w:rsid w:val="009d1036"/>
    <w:pPr>
      <w:widowControl w:val="false"/>
      <w:ind w:left="108" w:hanging="360"/>
      <w:jc w:val="both"/>
    </w:pPr>
    <w:rPr>
      <w:rFonts w:eastAsia="Times New Roman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17562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f81beb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GB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f81be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f81beb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370db7"/>
    <w:pPr>
      <w:spacing w:beforeAutospacing="1" w:afterAutospacing="1"/>
    </w:pPr>
    <w:rPr>
      <w:rFonts w:ascii="Times New Roman" w:hAnsi="Times New Roman" w:eastAsia="Times New Roman" w:cs="Times New Roman"/>
      <w:lang w:eastAsia="en-GB"/>
    </w:rPr>
  </w:style>
  <w:style w:type="paragraph" w:styleId="Footnote">
    <w:name w:val="Footnote Text"/>
    <w:basedOn w:val="Normal"/>
    <w:link w:val="FootnoteTextChar"/>
    <w:uiPriority w:val="99"/>
    <w:semiHidden/>
    <w:unhideWhenUsed/>
    <w:rsid w:val="00f66333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014EB5-181C-2645-918C-AEBE8EB6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Application>LibreOffice/6.4.7.2$Windows_X86_64 LibreOffice_project/639b8ac485750d5696d7590a72ef1b496725cfb5</Application>
  <Pages>2</Pages>
  <Words>369</Words>
  <Characters>2396</Characters>
  <CharactersWithSpaces>2752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2021-02-22T10:11:00Z</dcterms:created>
  <dc:creator/>
  <dc:description/>
  <dc:language>sr-Latn-RS</dc:language>
  <cp:lastModifiedBy/>
  <cp:lastPrinted>2020-12-23T07:26:00Z</cp:lastPrinted>
  <dcterms:modified xsi:type="dcterms:W3CDTF">2026-01-20T14:55:05Z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