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6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3C24D3" w:rsidRPr="002B6C0D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НАБАВК</w:t>
      </w:r>
      <w:r w:rsidR="008E1D6D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</w:t>
      </w:r>
      <w:r w:rsidR="002B6C0D">
        <w:rPr>
          <w:b/>
          <w:color w:val="auto"/>
          <w:lang w:val="sr-Cyrl-RS"/>
        </w:rPr>
        <w:t>РАДОВА</w:t>
      </w:r>
    </w:p>
    <w:p w:rsidR="00246C93" w:rsidRDefault="004A1F4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Реконструкција улице Браће Вуксановића у насељу Блаце  </w:t>
      </w:r>
    </w:p>
    <w:p w:rsidR="00246C93" w:rsidRDefault="004A1F4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са припадајућом инфраструктуром </w:t>
      </w:r>
    </w:p>
    <w:p w:rsidR="002B6C0D" w:rsidRDefault="002B6C0D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ЈН </w:t>
      </w:r>
      <w:r w:rsidR="00265BA4">
        <w:rPr>
          <w:b/>
          <w:color w:val="auto"/>
          <w:lang w:val="sr-Cyrl-RS"/>
        </w:rPr>
        <w:t>00</w:t>
      </w:r>
      <w:r w:rsidR="00272A6E">
        <w:rPr>
          <w:b/>
          <w:color w:val="auto"/>
          <w:lang w:val="sr-Latn-RS"/>
        </w:rPr>
        <w:t>04</w:t>
      </w:r>
    </w:p>
    <w:p w:rsidR="003F35EB" w:rsidRPr="003F35EB" w:rsidRDefault="003F35EB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D64013" w:rsidRPr="00D55575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2B6C0D">
        <w:rPr>
          <w:b/>
          <w:color w:val="auto"/>
          <w:spacing w:val="-2"/>
          <w:lang w:val="sr-Cyrl-RS"/>
        </w:rPr>
        <w:t>РАДОВА</w:t>
      </w:r>
    </w:p>
    <w:p w:rsidR="00246C93" w:rsidRPr="00246C93" w:rsidRDefault="00FA747F" w:rsidP="00246C9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  <w:r w:rsidRPr="00D55575">
        <w:rPr>
          <w:color w:val="auto"/>
          <w:spacing w:val="-2"/>
          <w:lang w:val="sr-Cyrl-RS"/>
        </w:rPr>
        <w:t xml:space="preserve">Радови на </w:t>
      </w:r>
      <w:r w:rsidR="00D30DF0">
        <w:rPr>
          <w:color w:val="auto"/>
          <w:spacing w:val="-2"/>
          <w:lang w:val="sr-Cyrl-RS"/>
        </w:rPr>
        <w:t xml:space="preserve">реконструкцији улице Браће Вуксановића у насељу Блаце </w:t>
      </w:r>
      <w:r w:rsidR="00246C93">
        <w:rPr>
          <w:color w:val="auto"/>
          <w:lang w:val="sr-Cyrl-RS"/>
        </w:rPr>
        <w:t>(од улице Краља Петра</w:t>
      </w:r>
      <w:r w:rsidR="00246C93">
        <w:rPr>
          <w:color w:val="auto"/>
          <w:lang w:val="sr-Latn-RS"/>
        </w:rPr>
        <w:t xml:space="preserve"> </w:t>
      </w:r>
      <w:r w:rsidR="00246C93" w:rsidRPr="00246C93">
        <w:rPr>
          <w:color w:val="auto"/>
          <w:lang w:val="sr-Cyrl-RS"/>
        </w:rPr>
        <w:t>до улице Војводе Степе) са припадајућом инфраструктуром насеље Блаце, катастарска парцела број: део 5873/1, део 7117/2, део 7117/1, део7116/1, део5014/1, део 5868, део 6019/1 све КО Блаце</w:t>
      </w:r>
    </w:p>
    <w:p w:rsidR="00D3075D" w:rsidRPr="00D3075D" w:rsidRDefault="00D3075D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05"/>
      </w:tblGrid>
      <w:tr w:rsidR="001266F4" w:rsidRPr="007B35EA" w:rsidTr="00732B5B">
        <w:tc>
          <w:tcPr>
            <w:tcW w:w="1951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8505" w:type="dxa"/>
          </w:tcPr>
          <w:p w:rsidR="00D3075D" w:rsidRPr="007B35EA" w:rsidRDefault="00FE53FB" w:rsidP="00D30DF0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делови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их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: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531BFC">
              <w:rPr>
                <w:rFonts w:eastAsia="Times New Roman"/>
                <w:color w:val="auto"/>
                <w:kern w:val="0"/>
                <w:lang w:val="sr-Cyrl-CS" w:eastAsia="sr-Latn-RS"/>
              </w:rPr>
              <w:t>део</w:t>
            </w:r>
            <w:r w:rsidR="00531BFC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5873/1, део</w:t>
            </w:r>
            <w:r w:rsidR="00531BFC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7117/2, део</w:t>
            </w:r>
            <w:r w:rsidR="00531BFC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7117/1, део 7116/1, део</w:t>
            </w:r>
            <w:r w:rsidR="00531BFC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>5014/1, део</w:t>
            </w:r>
            <w:r w:rsidR="00531BFC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30DF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5868, део 6019/1 све </w:t>
            </w:r>
            <w:r w:rsidR="003F1F9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КО Блаце</w:t>
            </w:r>
          </w:p>
        </w:tc>
      </w:tr>
      <w:tr w:rsidR="008713B1" w:rsidRPr="007B35EA" w:rsidTr="00732B5B">
        <w:tc>
          <w:tcPr>
            <w:tcW w:w="1951" w:type="dxa"/>
          </w:tcPr>
          <w:p w:rsidR="008713B1" w:rsidRDefault="008713B1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Објекат</w:t>
            </w:r>
          </w:p>
        </w:tc>
        <w:tc>
          <w:tcPr>
            <w:tcW w:w="8505" w:type="dxa"/>
          </w:tcPr>
          <w:p w:rsidR="003F1F9B" w:rsidRDefault="008713B1" w:rsidP="00533253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Објекти из члана 145.Закона о планирању и изградњи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. </w:t>
            </w:r>
          </w:p>
          <w:p w:rsidR="00D30DF0" w:rsidRDefault="00D30DF0" w:rsidP="00533253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color w:val="auto"/>
                <w:spacing w:val="-2"/>
                <w:lang w:val="sr-Cyrl-RS"/>
              </w:rPr>
              <w:t>Реконструкцији улице Браће Вуксановића у насељу Блаце са припадајућом инфраструктуром.</w:t>
            </w:r>
          </w:p>
          <w:p w:rsidR="003F1F9B" w:rsidRDefault="003F1F9B" w:rsidP="00533253">
            <w:pPr>
              <w:suppressAutoHyphens w:val="0"/>
              <w:spacing w:line="240" w:lineRule="auto"/>
              <w:ind w:left="-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Категорија објекта</w:t>
            </w:r>
            <w:r w:rsidR="008713B1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: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Г</w:t>
            </w:r>
            <w:r w:rsidR="008713B1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; </w:t>
            </w:r>
          </w:p>
          <w:p w:rsidR="008713B1" w:rsidRPr="00D30DF0" w:rsidRDefault="003F1F9B" w:rsidP="00D30DF0">
            <w:pPr>
              <w:suppressAutoHyphens w:val="0"/>
              <w:spacing w:line="240" w:lineRule="auto"/>
              <w:ind w:left="-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Класификациони број</w:t>
            </w:r>
            <w:r w:rsidR="008713B1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: </w:t>
            </w:r>
            <w:r w:rsidR="008713B1"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2</w:t>
            </w:r>
            <w:r w:rsidR="00D30DF0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>11201 и 211202</w:t>
            </w:r>
          </w:p>
        </w:tc>
      </w:tr>
      <w:tr w:rsidR="001266F4" w:rsidRPr="007B35EA" w:rsidTr="00732B5B">
        <w:tc>
          <w:tcPr>
            <w:tcW w:w="1951" w:type="dxa"/>
          </w:tcPr>
          <w:p w:rsidR="001266F4" w:rsidRPr="007B35EA" w:rsidRDefault="00B21680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Опис</w:t>
            </w:r>
            <w:r w:rsidR="001266F4">
              <w:rPr>
                <w:rFonts w:eastAsia="Times New Roman"/>
                <w:b/>
                <w:kern w:val="0"/>
                <w:lang w:val="sr-Cyrl-RS" w:eastAsia="en-US"/>
              </w:rPr>
              <w:t xml:space="preserve"> радова</w:t>
            </w:r>
          </w:p>
        </w:tc>
        <w:tc>
          <w:tcPr>
            <w:tcW w:w="8505" w:type="dxa"/>
          </w:tcPr>
          <w:p w:rsid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Cyrl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Овим пројектом је предвиђена реконструкција </w:t>
            </w:r>
            <w:r>
              <w:rPr>
                <w:rFonts w:eastAsiaTheme="minorHAnsi"/>
                <w:color w:val="auto"/>
                <w:kern w:val="0"/>
                <w:lang w:val="sr-Latn-RS" w:eastAsia="en-US"/>
              </w:rPr>
              <w:t>улице Браће Вуксановић у насељу</w:t>
            </w:r>
            <w:r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Блаце (од улице Краља Петра до улице Војво</w:t>
            </w:r>
            <w:r>
              <w:rPr>
                <w:rFonts w:eastAsiaTheme="minorHAnsi"/>
                <w:color w:val="auto"/>
                <w:kern w:val="0"/>
                <w:lang w:val="sr-Latn-RS" w:eastAsia="en-US"/>
              </w:rPr>
              <w:t>де Степе) према Плану генералне</w:t>
            </w:r>
            <w:r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регулације насеља Блаце којим је дефинисана осови</w:t>
            </w:r>
            <w:r>
              <w:rPr>
                <w:rFonts w:eastAsiaTheme="minorHAnsi"/>
                <w:color w:val="auto"/>
                <w:kern w:val="0"/>
                <w:lang w:val="sr-Latn-RS" w:eastAsia="en-US"/>
              </w:rPr>
              <w:t>на саобраћајница теменима као и</w:t>
            </w:r>
            <w:r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карактеристичним попречним профилима саобраћ</w:t>
            </w:r>
            <w:r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ајнице,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са пратећом инфраструктуром.</w:t>
            </w:r>
          </w:p>
          <w:p w:rsidR="000F7CA6" w:rsidRPr="000F7CA6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Cyrl-RS" w:eastAsia="en-US"/>
              </w:rPr>
            </w:pPr>
            <w:r w:rsidRPr="000F7CA6">
              <w:rPr>
                <w:rFonts w:eastAsiaTheme="minorHAnsi"/>
                <w:color w:val="auto"/>
                <w:kern w:val="0"/>
                <w:lang w:val="sr-Cyrl-RS" w:eastAsia="en-US"/>
              </w:rPr>
              <w:t>Укупна дужина трасе која се реконструише Л= 550,00м, ширине б=6,00м са обостраним тротоарима ширине 1.50 м с тим што је са десне стране ширине тротоара променљива до школске ограде и простором за садњу дрвореда са леве стране ширине 1,50м.</w:t>
            </w:r>
          </w:p>
          <w:p w:rsidR="00732B5B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Cyrl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Улица је пројектована за рачунску брзину од 3</w:t>
            </w:r>
            <w:r w:rsidR="000F7CA6">
              <w:rPr>
                <w:rFonts w:eastAsiaTheme="minorHAnsi"/>
                <w:color w:val="auto"/>
                <w:kern w:val="0"/>
                <w:lang w:val="sr-Latn-RS" w:eastAsia="en-US"/>
              </w:rPr>
              <w:t>0-40 км/h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>.</w:t>
            </w:r>
            <w:r w:rsidR="000F7CA6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Пројектоване саобраћајне површине коловозне конст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рукције су са потпуним ископом,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шљунчаним и туцаничким застором потребне дебљ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ине преко кога је пројектован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асфалтни слој по целој расположивој ширини коловоз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а, а на тротоарима пројектоване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732B5B">
              <w:rPr>
                <w:rFonts w:eastAsiaTheme="minorHAnsi"/>
                <w:color w:val="auto"/>
                <w:kern w:val="0"/>
                <w:lang w:val="sr-Latn-RS" w:eastAsia="en-US"/>
              </w:rPr>
              <w:t>су бетонске плоче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Коловоз, као и тротоар је оивичен ивичњацима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различитих димензија како би се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обезбедила с</w:t>
            </w:r>
            <w:r w:rsidR="00732B5B">
              <w:rPr>
                <w:rFonts w:eastAsiaTheme="minorHAnsi"/>
                <w:color w:val="auto"/>
                <w:kern w:val="0"/>
                <w:lang w:val="sr-Latn-RS" w:eastAsia="en-US"/>
              </w:rPr>
              <w:t>табилност коловозне констукције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,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као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и сигурност</w:t>
            </w:r>
            <w:r w:rsidR="002C471C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пешака,</w:t>
            </w:r>
            <w:r w:rsidR="002C471C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бициклиста и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возила.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На делу пешачких прелаза планирана је израда рамп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и од сивих двослојних бетонских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елемената за упозорење, од вибропресованог бе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тона МБ40 са бетонском завршном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732B5B">
              <w:rPr>
                <w:rFonts w:eastAsiaTheme="minorHAnsi"/>
                <w:color w:val="auto"/>
                <w:kern w:val="0"/>
                <w:lang w:val="sr-Latn-RS" w:eastAsia="en-US"/>
              </w:rPr>
              <w:t>обрадом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,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отпорних на дејство мраза и соли, на подлози од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дробљеног агрегата 4-8мм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са испуном спојнице "дун</w:t>
            </w:r>
            <w:r w:rsidR="000F7CA6">
              <w:rPr>
                <w:rFonts w:eastAsiaTheme="minorHAnsi"/>
                <w:color w:val="auto"/>
                <w:kern w:val="0"/>
                <w:lang w:val="sr-Latn-RS" w:eastAsia="en-US"/>
              </w:rPr>
              <w:t>авцем" и набијањем виброплочом.</w:t>
            </w:r>
            <w:r w:rsidR="00531BFC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Рампе за инвалидна лица на пешачким прелази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ма дим 4.00 * 1.50м са подужним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нагибом од 5-7% и страницама 1:1.50 и уградња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утопљеног ивичњака „на нулу“</w:t>
            </w:r>
            <w:r w:rsidR="00531BFC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на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531BFC">
              <w:rPr>
                <w:rFonts w:eastAsiaTheme="minorHAnsi"/>
                <w:color w:val="auto"/>
                <w:kern w:val="0"/>
                <w:lang w:val="sr-Latn-RS" w:eastAsia="en-US"/>
              </w:rPr>
              <w:t>месту споја са асфалтом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.</w:t>
            </w:r>
            <w:r w:rsidR="00531BFC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Површину закошеног дела р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ампе на месту прелаза пешака на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коловоз извести са тактилним пољем безбедности/упозорења.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Предвиђена је монтажа металних бицикларника н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а јавно бетонској подлози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lastRenderedPageBreak/>
              <w:t>поред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тротоара дужине 2м ширине 0.50м за паркирање бицикла.Један ме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тални бицикларник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је предвиђен за паркирање 6 бицикла,пројектом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је предвиђена уградња 2 метална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бицикларника за паркирање 12 бицикла.</w:t>
            </w:r>
          </w:p>
          <w:p w:rsidR="00955494" w:rsidRPr="002C471C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На пројектованој саобраћајници осовине 1 већ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постоје два изграђена подземна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хидранта промера ДН 80 на десној страни колово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за ( гледано од почетка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с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тационаже) и то на стационажи :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0+110,69км и на стационажи 0+292,08км </w:t>
            </w:r>
            <w:r w:rsidR="002C471C">
              <w:rPr>
                <w:rFonts w:eastAsiaTheme="minorHAnsi"/>
                <w:color w:val="auto"/>
                <w:kern w:val="0"/>
                <w:lang w:val="sr-Latn-RS" w:eastAsia="en-US"/>
              </w:rPr>
              <w:t>на 1,2м од ивичњака тротоара са</w:t>
            </w:r>
            <w:r w:rsidR="002C471C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="00732B5B">
              <w:rPr>
                <w:rFonts w:eastAsiaTheme="minorHAnsi"/>
                <w:color w:val="auto"/>
                <w:kern w:val="0"/>
                <w:lang w:val="sr-Latn-RS" w:eastAsia="en-US"/>
              </w:rPr>
              <w:t>коловозом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Пројектом је предвиђена нивелација (скидање с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а поновном монтажом) постојећих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сливних решетака и шахт поклопаца (канализација и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птт). 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Начин обраде колске површине је усвојен као флексибилна коловозна к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онструкција од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асфалтних слојева са завршним слојем од крупн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озрног асфалт бетона и агрегата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ерупртивног порекла.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Нивелацијски саобраћајне површине су максимално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уклопљене са постојећим улазима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граничних парцела.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Попречни нагиб коловоза делом је решен једнострани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м падом до 2,00%, гледано да се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саобраћајнице што боље уклопе са постојећим улазима.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Тротоари су решени попречним падо</w:t>
            </w:r>
            <w:r w:rsidR="00732B5B">
              <w:rPr>
                <w:rFonts w:eastAsiaTheme="minorHAnsi"/>
                <w:color w:val="auto"/>
                <w:kern w:val="0"/>
                <w:lang w:val="sr-Latn-RS" w:eastAsia="en-US"/>
              </w:rPr>
              <w:t>м од 2,00% са смером пада према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коловозу.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Приступне рампе за контактне парцеле су планиране да буду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функционалне, тј. 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>у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границама дозвољених нагиба.</w:t>
            </w:r>
          </w:p>
          <w:p w:rsidR="00955494" w:rsidRPr="00955494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Одводњавање коловоза решено је постојећом новом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атмосферском канализацијом која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је урађена у претходном периоду и која сливниц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има прикупља воду са коловоза и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тротоара која даље одводи површинску воду ван путног појаса. Услови одвођења вода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гравитационим путем су повољни .</w:t>
            </w:r>
          </w:p>
          <w:p w:rsidR="00955494" w:rsidRPr="00F9060A" w:rsidRDefault="00955494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Latn-RS" w:eastAsia="en-US"/>
              </w:rPr>
            </w:pP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Пројектом је предвиђено озелењавање садњом траве и 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дрвећа у пројектованом простору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за садњу дрвореда. Набавка и транспорт садног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 xml:space="preserve"> материјала по жељи инвеститора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типа"prunus serrulate “Kanzan”". Саднице морају д</w:t>
            </w:r>
            <w:r w:rsidR="00F9060A">
              <w:rPr>
                <w:rFonts w:eastAsiaTheme="minorHAnsi"/>
                <w:color w:val="auto"/>
                <w:kern w:val="0"/>
                <w:lang w:val="sr-Latn-RS" w:eastAsia="en-US"/>
              </w:rPr>
              <w:t>а задовољавају услове у погледу</w:t>
            </w:r>
            <w:r w:rsidR="00F9060A"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</w:t>
            </w:r>
            <w:r w:rsidRPr="00955494">
              <w:rPr>
                <w:rFonts w:eastAsiaTheme="minorHAnsi"/>
                <w:color w:val="auto"/>
                <w:kern w:val="0"/>
                <w:lang w:val="sr-Latn-RS" w:eastAsia="en-US"/>
              </w:rPr>
              <w:t>здравственог стања и квалитета, да буду лепо формиране и орезане.</w:t>
            </w:r>
          </w:p>
          <w:p w:rsidR="000F7CA6" w:rsidRPr="000F7CA6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Cyrl-RS" w:eastAsia="en-US"/>
              </w:rPr>
            </w:pPr>
            <w:r w:rsidRPr="000F7CA6">
              <w:rPr>
                <w:rFonts w:eastAsiaTheme="minorHAnsi"/>
                <w:color w:val="auto"/>
                <w:kern w:val="0"/>
                <w:lang w:val="sr-Cyrl-RS" w:eastAsia="en-US"/>
              </w:rPr>
              <w:t>Пројектовано је 18 алуминијумских стубова висине 8м у црној боји на којима се монтирају лед светиљке.</w:t>
            </w:r>
          </w:p>
          <w:p w:rsidR="00955494" w:rsidRPr="006F1715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lang w:val="sr-Cyrl-RS" w:eastAsia="en-US"/>
              </w:rPr>
            </w:pPr>
            <w:r>
              <w:rPr>
                <w:rFonts w:eastAsiaTheme="minorHAnsi"/>
                <w:color w:val="auto"/>
                <w:kern w:val="0"/>
                <w:lang w:val="sr-Cyrl-RS" w:eastAsia="en-US"/>
              </w:rPr>
              <w:t>Пројектом је предвиђено опремање саобраћајнице вертикалном и хоризонталном сигнализацијом  као и саобраћајном опремом (вештачке избочине-</w:t>
            </w:r>
            <w:r w:rsidRPr="000F7CA6">
              <w:rPr>
                <w:rFonts w:eastAsiaTheme="minorHAnsi"/>
                <w:color w:val="auto"/>
                <w:kern w:val="0"/>
                <w:lang w:val="sr-Cyrl-RS" w:eastAsia="en-US"/>
              </w:rPr>
              <w:t>“лежећи полицајци“</w:t>
            </w:r>
            <w:r>
              <w:rPr>
                <w:rFonts w:eastAsiaTheme="minorHAnsi"/>
                <w:color w:val="auto"/>
                <w:kern w:val="0"/>
                <w:lang w:val="sr-Cyrl-RS" w:eastAsia="en-US"/>
              </w:rPr>
              <w:t xml:space="preserve"> и саобраћајним огледалом</w:t>
            </w:r>
            <w:r w:rsidR="00732B5B">
              <w:rPr>
                <w:rFonts w:eastAsiaTheme="minorHAnsi"/>
                <w:color w:val="auto"/>
                <w:kern w:val="0"/>
                <w:lang w:val="sr-Cyrl-RS" w:eastAsia="en-US"/>
              </w:rPr>
              <w:t>).</w:t>
            </w:r>
          </w:p>
        </w:tc>
      </w:tr>
      <w:tr w:rsidR="001266F4" w:rsidRPr="007B35EA" w:rsidTr="00732B5B">
        <w:tc>
          <w:tcPr>
            <w:tcW w:w="1951" w:type="dxa"/>
          </w:tcPr>
          <w:p w:rsidR="001266F4" w:rsidRPr="007B35EA" w:rsidRDefault="002B6C0D" w:rsidP="002B6C0D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 xml:space="preserve">Одобрење за извођење радова  и </w:t>
            </w:r>
            <w:r w:rsidR="001266F4">
              <w:rPr>
                <w:rFonts w:eastAsia="Times New Roman"/>
                <w:b/>
                <w:kern w:val="0"/>
                <w:lang w:val="sr-Cyrl-RS" w:eastAsia="en-US"/>
              </w:rPr>
              <w:t>техничк</w:t>
            </w:r>
            <w:r>
              <w:rPr>
                <w:rFonts w:eastAsia="Times New Roman"/>
                <w:b/>
                <w:kern w:val="0"/>
                <w:lang w:val="sr-Cyrl-RS" w:eastAsia="en-US"/>
              </w:rPr>
              <w:t>а</w:t>
            </w:r>
            <w:r w:rsidR="001266F4">
              <w:rPr>
                <w:rFonts w:eastAsia="Times New Roman"/>
                <w:b/>
                <w:kern w:val="0"/>
                <w:lang w:val="sr-Cyrl-RS" w:eastAsia="en-US"/>
              </w:rPr>
              <w:t xml:space="preserve"> докуменатциј</w:t>
            </w:r>
            <w:r>
              <w:rPr>
                <w:rFonts w:eastAsia="Times New Roman"/>
                <w:b/>
                <w:kern w:val="0"/>
                <w:lang w:val="sr-Cyrl-RS" w:eastAsia="en-US"/>
              </w:rPr>
              <w:t>а</w:t>
            </w:r>
          </w:p>
        </w:tc>
        <w:tc>
          <w:tcPr>
            <w:tcW w:w="8505" w:type="dxa"/>
          </w:tcPr>
          <w:p w:rsidR="000F7CA6" w:rsidRDefault="00E415A8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Решења о о</w:t>
            </w:r>
            <w:r w:rsidR="002B6C0D">
              <w:rPr>
                <w:rFonts w:eastAsia="Times New Roman"/>
                <w:color w:val="auto"/>
                <w:kern w:val="0"/>
                <w:lang w:val="sr-Cyrl-CS" w:eastAsia="sr-Latn-RS"/>
              </w:rPr>
              <w:t>добрењ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у</w:t>
            </w:r>
            <w:r w:rsidR="002B6C0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извођењ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2B6C0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радова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су издата</w:t>
            </w:r>
            <w:r w:rsidR="002B6C0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од стране Општинске управе Општине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:</w:t>
            </w:r>
            <w:r w:rsidR="002B6C0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</w:p>
          <w:p w:rsidR="000F7CA6" w:rsidRPr="000F7CA6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0F7CA6">
              <w:rPr>
                <w:rFonts w:eastAsia="Times New Roman"/>
                <w:color w:val="auto"/>
                <w:kern w:val="0"/>
                <w:lang w:val="sr-Cyrl-CS" w:eastAsia="sr-Latn-RS"/>
              </w:rPr>
              <w:t>Решење о одобрењу извођења радова број: ROP-BLA-41600-ISAW-2/2024 (заводни број: III-02-351-160/24) од 05.04.2024.</w:t>
            </w:r>
          </w:p>
          <w:p w:rsidR="000F7CA6" w:rsidRPr="000F7CA6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0F7CA6">
              <w:rPr>
                <w:rFonts w:eastAsia="Times New Roman"/>
                <w:color w:val="auto"/>
                <w:kern w:val="0"/>
                <w:lang w:val="sr-Cyrl-CS" w:eastAsia="sr-Latn-RS"/>
              </w:rPr>
              <w:t>Решење о измени решења о  одобрењу извођења радова број: ROP-BLA-41600-ISAWА-5/2025 (заводни број: III-02-351-55/25) од 30.01.2025.</w:t>
            </w:r>
          </w:p>
          <w:p w:rsidR="000F7CA6" w:rsidRDefault="000F7CA6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0F7CA6">
              <w:rPr>
                <w:rFonts w:eastAsia="Times New Roman"/>
                <w:color w:val="auto"/>
                <w:kern w:val="0"/>
                <w:lang w:val="sr-Cyrl-CS" w:eastAsia="sr-Latn-RS"/>
              </w:rPr>
              <w:t>Решење о исправци техничке грешке у решењу број: ROP-BLA-41600-TECCORO-7/2025 (заводни број: III-02-351-19/25) од 03.02.2025</w:t>
            </w:r>
          </w:p>
          <w:p w:rsidR="00E415A8" w:rsidRDefault="008713B1" w:rsidP="00732B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Саставни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део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Решења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о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одобрењу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извођења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>радова</w:t>
            </w:r>
            <w:proofErr w:type="spellEnd"/>
            <w:r w:rsidR="00FB377D"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r w:rsidR="00FB377D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је идејни пројекат који чине: 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eastAsia="en-US"/>
              </w:rPr>
              <w:t xml:space="preserve"> 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 xml:space="preserve">Главна свеска бр.17-12/24-0 из </w:t>
            </w:r>
            <w:r w:rsidR="00A17281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>новембра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 xml:space="preserve"> 2024. године и Идејни пројекат који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 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чине: 2/2-Пројекат саобраћајница бр.</w:t>
            </w:r>
            <w:r w:rsidR="00A17281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 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17-12/24-ПС, 4-Пројекат електроенергетских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 </w:t>
            </w:r>
            <w:r w:rsidR="00E415A8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инсталација бр.17-12/24-Е и 8-Пројекат саобраћаја и саобраћајне сигнализације бр.17-12/24-СС, израђени од стране Агенције за</w:t>
            </w:r>
          </w:p>
          <w:p w:rsidR="007D694A" w:rsidRPr="00732B5B" w:rsidRDefault="00E415A8" w:rsidP="006F17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 xml:space="preserve">пројектовање и консалтинг „ИП ИНЖЕЊЕРИНГ 037“ Варварин, ул. Марина 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lastRenderedPageBreak/>
              <w:t>Мариновића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бр.20, (МБ: 66400301, ПИБ: 112857600), где је одговорно лице и главни пројектант Ирена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Cyrl-RS"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 xml:space="preserve">Петровић, дипл. инж. грађ. са лиценцом бр. 312 </w:t>
            </w:r>
            <w:r w:rsidR="006F1715"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F</w:t>
            </w:r>
            <w:r>
              <w:rPr>
                <w:rFonts w:ascii="TimesNewRomanPSMT" w:eastAsiaTheme="minorHAnsi" w:hAnsi="TimesNewRomanPSMT" w:cs="TimesNewRomanPSMT"/>
                <w:color w:val="auto"/>
                <w:kern w:val="0"/>
                <w:lang w:val="sr-Latn-RS" w:eastAsia="en-US"/>
              </w:rPr>
              <w:t>295 07.“</w:t>
            </w:r>
          </w:p>
        </w:tc>
      </w:tr>
    </w:tbl>
    <w:p w:rsidR="003F35EB" w:rsidRDefault="003F35EB" w:rsidP="00D86D19">
      <w:pPr>
        <w:rPr>
          <w:b/>
          <w:lang w:val="sr-Cyrl-CS"/>
        </w:rPr>
      </w:pPr>
    </w:p>
    <w:p w:rsidR="00D86D19" w:rsidRPr="00D86D19" w:rsidRDefault="00527C62" w:rsidP="00D86D19">
      <w:pPr>
        <w:rPr>
          <w:b/>
        </w:rPr>
      </w:pPr>
      <w:r>
        <w:rPr>
          <w:b/>
          <w:lang w:val="sr-Cyrl-CS"/>
        </w:rPr>
        <w:t>3.</w:t>
      </w:r>
      <w:r w:rsidR="00D86D19" w:rsidRPr="00D86D19">
        <w:rPr>
          <w:b/>
          <w:lang w:val="sr-Cyrl-CS"/>
        </w:rPr>
        <w:t>КОЛИЧИНА И ОПИС РАДОВА</w:t>
      </w:r>
    </w:p>
    <w:p w:rsidR="00D86D19" w:rsidRPr="009717B9" w:rsidRDefault="00D86D19" w:rsidP="00D86D19">
      <w:pPr>
        <w:rPr>
          <w:lang w:val="sr-Latn-RS"/>
        </w:rPr>
      </w:pPr>
      <w:r w:rsidRPr="00D86D19">
        <w:rPr>
          <w:lang w:val="sr-Cyrl-RS"/>
        </w:rPr>
        <w:t>Количине и опис радова приказане су у обрасцу структуре понуђене цене  ''Предмер и предрачун радова''</w:t>
      </w:r>
      <w:r w:rsidR="009717B9">
        <w:rPr>
          <w:lang w:val="sr-Latn-RS"/>
        </w:rPr>
        <w:t>.</w:t>
      </w:r>
    </w:p>
    <w:p w:rsidR="00D86D19" w:rsidRDefault="00D86D19" w:rsidP="00D86D19">
      <w:pPr>
        <w:rPr>
          <w:lang w:val="sr-Cyrl-RS"/>
        </w:rPr>
      </w:pPr>
    </w:p>
    <w:p w:rsidR="007D694A" w:rsidRDefault="007D694A" w:rsidP="007D694A">
      <w:pPr>
        <w:jc w:val="both"/>
        <w:rPr>
          <w:rFonts w:eastAsia="Calibri"/>
          <w:color w:val="auto"/>
          <w:kern w:val="0"/>
          <w:lang w:val="sr-Latn-RS" w:eastAsia="en-US"/>
        </w:rPr>
      </w:pPr>
      <w:r w:rsidRPr="00D86D19">
        <w:rPr>
          <w:color w:val="auto"/>
          <w:lang w:val="sr-Cyrl-CS" w:eastAsia="sr-Latn-CS"/>
        </w:rPr>
        <w:t xml:space="preserve">Сви радови морају бити изведени у складу са важећим законима и подзаконским актима Републике Србије којима се регулише област изградње, заштите животне средине и заштите на раду, а нарочито у складу са </w:t>
      </w:r>
      <w:r w:rsidRPr="00D86D19">
        <w:rPr>
          <w:rFonts w:eastAsia="Calibri"/>
          <w:color w:val="auto"/>
          <w:kern w:val="0"/>
          <w:lang w:val="sr-Cyrl-CS" w:eastAsia="en-US"/>
        </w:rPr>
        <w:t>Закон</w:t>
      </w:r>
      <w:r w:rsidRPr="00D86D19">
        <w:rPr>
          <w:rFonts w:eastAsia="Calibri"/>
          <w:color w:val="auto"/>
          <w:kern w:val="0"/>
          <w:lang w:val="sr-Cyrl-RS" w:eastAsia="en-US"/>
        </w:rPr>
        <w:t>ом</w:t>
      </w:r>
      <w:r w:rsidRPr="00D86D19">
        <w:rPr>
          <w:rFonts w:eastAsia="Calibri"/>
          <w:color w:val="auto"/>
          <w:kern w:val="0"/>
          <w:lang w:val="sr-Cyrl-CS" w:eastAsia="en-US"/>
        </w:rPr>
        <w:t xml:space="preserve"> о планирању и изградњи (''Сл.гласник РС'' бр.72/09, 81/09, 64/10, 24/11, 121/12, </w:t>
      </w:r>
      <w:r w:rsidRPr="00D86D19">
        <w:rPr>
          <w:rFonts w:eastAsia="Calibri"/>
          <w:color w:val="auto"/>
          <w:kern w:val="0"/>
          <w:lang w:eastAsia="en-US"/>
        </w:rPr>
        <w:t xml:space="preserve">42/13-УС, 50/13-УС, 98/13-УС, 132/14, 145/14, </w:t>
      </w:r>
      <w:r w:rsidRPr="00D86D19">
        <w:rPr>
          <w:rFonts w:eastAsia="Calibri"/>
          <w:color w:val="auto"/>
          <w:kern w:val="0"/>
          <w:lang w:val="sr-Cyrl-RS" w:eastAsia="en-US"/>
        </w:rPr>
        <w:t>83/</w:t>
      </w:r>
      <w:r w:rsidR="003F35EB">
        <w:rPr>
          <w:rFonts w:eastAsia="Calibri"/>
          <w:color w:val="auto"/>
          <w:kern w:val="0"/>
          <w:lang w:val="sr-Cyrl-RS" w:eastAsia="en-US"/>
        </w:rPr>
        <w:t>18, 31/19, 37/19, 9/20, 52/21, 62</w:t>
      </w:r>
      <w:r w:rsidRPr="00D86D19">
        <w:rPr>
          <w:rFonts w:eastAsia="Calibri"/>
          <w:color w:val="auto"/>
          <w:kern w:val="0"/>
          <w:lang w:val="sr-Cyrl-RS" w:eastAsia="en-US"/>
        </w:rPr>
        <w:t>/23</w:t>
      </w:r>
      <w:r w:rsidR="003F35EB">
        <w:rPr>
          <w:rFonts w:eastAsia="Calibri"/>
          <w:color w:val="auto"/>
          <w:kern w:val="0"/>
          <w:lang w:val="sr-Cyrl-RS" w:eastAsia="en-US"/>
        </w:rPr>
        <w:t>, 91/25</w:t>
      </w:r>
      <w:r w:rsidRPr="00D86D19">
        <w:rPr>
          <w:rFonts w:eastAsia="Calibri"/>
          <w:color w:val="auto"/>
          <w:kern w:val="0"/>
          <w:lang w:eastAsia="en-US"/>
        </w:rPr>
        <w:t xml:space="preserve"> </w:t>
      </w:r>
      <w:r w:rsidRPr="00D86D19">
        <w:rPr>
          <w:rFonts w:eastAsia="Calibri"/>
          <w:color w:val="auto"/>
          <w:kern w:val="0"/>
          <w:lang w:val="sr-Cyrl-CS" w:eastAsia="en-US"/>
        </w:rPr>
        <w:t>) и подзаконским актима овог закона;</w:t>
      </w:r>
    </w:p>
    <w:p w:rsidR="008209D7" w:rsidRDefault="008209D7" w:rsidP="007D694A">
      <w:pPr>
        <w:jc w:val="both"/>
        <w:rPr>
          <w:rFonts w:eastAsia="Calibri"/>
          <w:color w:val="auto"/>
          <w:kern w:val="0"/>
          <w:lang w:val="sr-Latn-RS" w:eastAsia="en-US"/>
        </w:rPr>
      </w:pPr>
    </w:p>
    <w:p w:rsidR="007D694A" w:rsidRPr="00D86D19" w:rsidRDefault="007D694A" w:rsidP="00D86D19">
      <w:pPr>
        <w:rPr>
          <w:lang w:val="sr-Cyrl-RS"/>
        </w:rPr>
      </w:pPr>
    </w:p>
    <w:p w:rsidR="00D86D19" w:rsidRDefault="00527C62" w:rsidP="00D86D19">
      <w:pPr>
        <w:rPr>
          <w:b/>
          <w:lang w:val="sr-Cyrl-CS"/>
        </w:rPr>
      </w:pPr>
      <w:r>
        <w:rPr>
          <w:b/>
          <w:lang w:val="sr-Cyrl-CS"/>
        </w:rPr>
        <w:t>4.</w:t>
      </w:r>
      <w:r w:rsidR="00D86D19" w:rsidRPr="00D86D19">
        <w:rPr>
          <w:b/>
          <w:lang w:val="sr-Cyrl-CS"/>
        </w:rPr>
        <w:t>НАЧИН СПРОВОЂЕЊА КОНТРОЛЕ И ОБЕЗБЕЂЕЊЕ ГАРАНЦИЈЕ КВАЛИТЕТА</w:t>
      </w:r>
    </w:p>
    <w:p w:rsidR="007D694A" w:rsidRPr="00D86D19" w:rsidRDefault="007D694A" w:rsidP="00D86D19">
      <w:pPr>
        <w:rPr>
          <w:b/>
          <w:lang w:val="sr-Cyrl-CS"/>
        </w:rPr>
      </w:pPr>
    </w:p>
    <w:p w:rsidR="00D86D19" w:rsidRDefault="00D86D19" w:rsidP="00D86D19">
      <w:pPr>
        <w:suppressAutoHyphens w:val="0"/>
        <w:spacing w:line="232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86D19">
        <w:rPr>
          <w:rFonts w:eastAsia="Calibri"/>
          <w:color w:val="auto"/>
          <w:kern w:val="0"/>
          <w:lang w:val="sr-Cyrl-CS" w:eastAsia="en-US"/>
        </w:rPr>
        <w:t>Наручилац</w:t>
      </w:r>
      <w:r w:rsidRPr="00D86D19">
        <w:rPr>
          <w:rFonts w:eastAsia="Calibri"/>
          <w:color w:val="auto"/>
          <w:kern w:val="0"/>
          <w:lang w:val="ru-RU" w:eastAsia="en-US"/>
        </w:rPr>
        <w:t xml:space="preserve"> ће обезбедити вршење Стручног надзора над извођењем радова</w:t>
      </w:r>
      <w:r w:rsidRPr="00D86D19">
        <w:rPr>
          <w:rFonts w:eastAsia="Times New Roman"/>
          <w:color w:val="auto"/>
          <w:kern w:val="0"/>
          <w:lang w:val="sr-Cyrl-CS"/>
        </w:rPr>
        <w:t xml:space="preserve"> у складу са </w:t>
      </w:r>
      <w:r w:rsidRPr="00D86D19">
        <w:rPr>
          <w:rFonts w:eastAsia="Calibri"/>
          <w:color w:val="auto"/>
          <w:kern w:val="0"/>
          <w:lang w:val="sr-Cyrl-CS" w:eastAsia="en-US"/>
        </w:rPr>
        <w:t>Закон</w:t>
      </w:r>
      <w:r w:rsidRPr="00D86D19">
        <w:rPr>
          <w:rFonts w:eastAsia="Calibri"/>
          <w:color w:val="auto"/>
          <w:kern w:val="0"/>
          <w:lang w:val="sr-Cyrl-RS" w:eastAsia="en-US"/>
        </w:rPr>
        <w:t>ом</w:t>
      </w:r>
      <w:r w:rsidRPr="00D86D19">
        <w:rPr>
          <w:rFonts w:eastAsia="Calibri"/>
          <w:color w:val="auto"/>
          <w:kern w:val="0"/>
          <w:lang w:val="sr-Cyrl-CS" w:eastAsia="en-US"/>
        </w:rPr>
        <w:t xml:space="preserve"> о планирању и изградњи (''Сл.гласник РС'' бр.72/09, 81/09, 64/10, 24/11, 121/12, </w:t>
      </w:r>
      <w:r w:rsidRPr="00D86D19">
        <w:rPr>
          <w:rFonts w:eastAsia="Calibri"/>
          <w:color w:val="auto"/>
          <w:kern w:val="0"/>
          <w:lang w:eastAsia="en-US"/>
        </w:rPr>
        <w:t xml:space="preserve">42/13-УС, 50/13-УС, 98/13-УС, 132/14, 145/14, 83/18, 31/19 </w:t>
      </w:r>
      <w:r w:rsidR="00A17281">
        <w:rPr>
          <w:rFonts w:eastAsia="Calibri"/>
          <w:color w:val="auto"/>
          <w:kern w:val="0"/>
          <w:lang w:val="sr-Cyrl-RS" w:eastAsia="en-US"/>
        </w:rPr>
        <w:t xml:space="preserve"> 37/19, 9/20, 52/21,</w:t>
      </w:r>
      <w:r w:rsidRPr="00D86D19">
        <w:rPr>
          <w:rFonts w:eastAsia="Calibri"/>
          <w:color w:val="auto"/>
          <w:kern w:val="0"/>
          <w:lang w:val="sr-Cyrl-RS" w:eastAsia="en-US"/>
        </w:rPr>
        <w:t xml:space="preserve"> 62/23</w:t>
      </w:r>
      <w:r w:rsidR="00A17281">
        <w:rPr>
          <w:rFonts w:eastAsia="Calibri"/>
          <w:color w:val="auto"/>
          <w:kern w:val="0"/>
          <w:lang w:val="sr-Cyrl-RS" w:eastAsia="en-US"/>
        </w:rPr>
        <w:t xml:space="preserve"> </w:t>
      </w:r>
      <w:r w:rsidR="003F35EB">
        <w:rPr>
          <w:rFonts w:eastAsia="Calibri"/>
          <w:color w:val="auto"/>
          <w:kern w:val="0"/>
          <w:lang w:val="sr-Cyrl-RS" w:eastAsia="en-US"/>
        </w:rPr>
        <w:t>и 91/</w:t>
      </w:r>
      <w:r w:rsidR="00A17281">
        <w:rPr>
          <w:rFonts w:eastAsia="Calibri"/>
          <w:color w:val="auto"/>
          <w:kern w:val="0"/>
          <w:lang w:val="sr-Cyrl-RS" w:eastAsia="en-US"/>
        </w:rPr>
        <w:t>25</w:t>
      </w:r>
      <w:r w:rsidRPr="00D86D19">
        <w:rPr>
          <w:rFonts w:eastAsia="Calibri"/>
          <w:color w:val="auto"/>
          <w:kern w:val="0"/>
          <w:lang w:val="sr-Cyrl-CS" w:eastAsia="en-US"/>
        </w:rPr>
        <w:t>) и Правилником о садржини и начину вођења стручног надзора (''Сл.гласник РС'' бр.22/2015 и 24/2017).</w:t>
      </w:r>
    </w:p>
    <w:p w:rsidR="00D86D19" w:rsidRDefault="00D86D19" w:rsidP="00D86D19">
      <w:pPr>
        <w:suppressAutoHyphens w:val="0"/>
        <w:spacing w:line="232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D86D19" w:rsidRPr="00D86D19" w:rsidRDefault="00D86D19" w:rsidP="00D55575">
      <w:pPr>
        <w:jc w:val="both"/>
        <w:rPr>
          <w:rFonts w:eastAsia="Times New Roman"/>
          <w:color w:val="auto"/>
          <w:kern w:val="0"/>
          <w:lang w:val="sr-Cyrl-RS" w:eastAsia="en-US"/>
        </w:rPr>
      </w:pPr>
      <w:r w:rsidRPr="00D86D19">
        <w:rPr>
          <w:lang w:val="sr-Cyrl-CS"/>
        </w:rPr>
        <w:t>За све уграђене материјале, извођач радова је у обавези да достави одговарајуће доказе о квалитету којима доказује да квалитет уграђеног материјала одговара захтеваном квалитету</w:t>
      </w:r>
      <w:r>
        <w:rPr>
          <w:lang w:val="sr-Cyrl-RS"/>
        </w:rPr>
        <w:t xml:space="preserve"> материјала. </w:t>
      </w:r>
      <w:r w:rsidRPr="00D86D19">
        <w:rPr>
          <w:color w:val="auto"/>
          <w:lang w:val="sr-Cyrl-CS" w:eastAsia="sr-Latn-CS"/>
        </w:rPr>
        <w:t xml:space="preserve">Сви материјали који се уграђују морају одговарати </w:t>
      </w:r>
      <w:r w:rsidRPr="00D86D19">
        <w:rPr>
          <w:rFonts w:eastAsia="Times New Roman"/>
          <w:color w:val="auto"/>
          <w:kern w:val="0"/>
          <w:lang w:eastAsia="en-US"/>
        </w:rPr>
        <w:t>SRPS</w:t>
      </w:r>
      <w:r w:rsidRPr="00D86D19">
        <w:rPr>
          <w:rFonts w:eastAsia="Times New Roman"/>
          <w:color w:val="auto"/>
          <w:kern w:val="0"/>
          <w:lang w:val="sr-Cyrl-CS" w:eastAsia="en-US"/>
        </w:rPr>
        <w:t xml:space="preserve"> стандардима.</w:t>
      </w:r>
      <w:r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D86D19">
        <w:rPr>
          <w:rFonts w:eastAsia="Times New Roman"/>
          <w:color w:val="auto"/>
          <w:kern w:val="0"/>
          <w:lang w:val="sr-Cyrl-CS" w:eastAsia="en-US"/>
        </w:rPr>
        <w:t xml:space="preserve">Сви радови који се изводе морају бити изведени у складу са </w:t>
      </w:r>
      <w:r w:rsidRPr="00D86D19">
        <w:rPr>
          <w:rFonts w:eastAsia="Times New Roman"/>
          <w:color w:val="auto"/>
          <w:kern w:val="0"/>
          <w:lang w:eastAsia="en-US"/>
        </w:rPr>
        <w:t>SRPS</w:t>
      </w:r>
      <w:r w:rsidRPr="00D86D19">
        <w:rPr>
          <w:rFonts w:eastAsia="Times New Roman"/>
          <w:color w:val="auto"/>
          <w:kern w:val="0"/>
          <w:lang w:val="sr-Cyrl-CS" w:eastAsia="en-US"/>
        </w:rPr>
        <w:t xml:space="preserve"> стандардима</w:t>
      </w:r>
      <w:r w:rsidRPr="00D86D19">
        <w:rPr>
          <w:rFonts w:eastAsia="Times New Roman"/>
          <w:color w:val="auto"/>
          <w:kern w:val="0"/>
          <w:lang w:val="sr-Cyrl-RS" w:eastAsia="en-US"/>
        </w:rPr>
        <w:t>.</w:t>
      </w:r>
    </w:p>
    <w:p w:rsidR="00D86D19" w:rsidRDefault="00D86D19" w:rsidP="00D55575">
      <w:pPr>
        <w:jc w:val="both"/>
        <w:rPr>
          <w:lang w:val="sr-Cyrl-CS"/>
        </w:rPr>
      </w:pPr>
      <w:r w:rsidRPr="00D86D19">
        <w:rPr>
          <w:lang w:val="sr-Cyrl-CS"/>
        </w:rPr>
        <w:t xml:space="preserve">За све изведене радове, извођач радова </w:t>
      </w:r>
      <w:r w:rsidRPr="00D86D19">
        <w:rPr>
          <w:lang w:val="sr-Cyrl-RS"/>
        </w:rPr>
        <w:t>је у обавези да достави</w:t>
      </w:r>
      <w:r w:rsidRPr="00D86D19">
        <w:rPr>
          <w:lang w:val="sr-Cyrl-CS"/>
        </w:rPr>
        <w:t xml:space="preserve"> извештаје о испитивању  израђене од стране овлашћене организације, којим доказује да је изведени квалитет радова одговара захтеваном квалитету. </w:t>
      </w:r>
    </w:p>
    <w:p w:rsidR="006B68C9" w:rsidRDefault="006B68C9" w:rsidP="00D55575">
      <w:pPr>
        <w:jc w:val="both"/>
        <w:rPr>
          <w:lang w:val="sr-Cyrl-CS"/>
        </w:rPr>
      </w:pPr>
    </w:p>
    <w:p w:rsidR="00BA7046" w:rsidRPr="00FE79D5" w:rsidRDefault="006B68C9" w:rsidP="00BA7046">
      <w:pPr>
        <w:jc w:val="both"/>
        <w:rPr>
          <w:color w:val="auto"/>
          <w:lang w:val="sr-Latn-RS"/>
        </w:rPr>
      </w:pPr>
      <w:r w:rsidRPr="00FE79D5">
        <w:rPr>
          <w:rFonts w:eastAsia="Calibri"/>
          <w:color w:val="auto"/>
          <w:kern w:val="0"/>
          <w:lang w:val="sr-Cyrl-RS" w:eastAsia="en-US"/>
        </w:rPr>
        <w:t xml:space="preserve">Извођач је у обавези да изради </w:t>
      </w:r>
      <w:r w:rsidR="00BA7046" w:rsidRPr="00FE79D5">
        <w:rPr>
          <w:color w:val="auto"/>
          <w:lang w:val="sr-Cyrl-RS"/>
        </w:rPr>
        <w:t>о сопственом трошку</w:t>
      </w:r>
      <w:r w:rsidR="00BA7046" w:rsidRPr="00FE79D5">
        <w:rPr>
          <w:color w:val="auto"/>
          <w:lang w:val="sr-Latn-RS"/>
        </w:rPr>
        <w:t>:</w:t>
      </w:r>
    </w:p>
    <w:p w:rsidR="00BA7046" w:rsidRPr="00FE79D5" w:rsidRDefault="00BA7046" w:rsidP="00BA7046">
      <w:pPr>
        <w:pStyle w:val="ListParagraph"/>
        <w:numPr>
          <w:ilvl w:val="0"/>
          <w:numId w:val="6"/>
        </w:numPr>
        <w:jc w:val="both"/>
        <w:rPr>
          <w:rFonts w:eastAsia="Calibri"/>
          <w:color w:val="auto"/>
          <w:kern w:val="0"/>
          <w:lang w:val="sr-Latn-RS" w:eastAsia="en-US"/>
        </w:rPr>
      </w:pPr>
      <w:r w:rsidRPr="00FE79D5">
        <w:rPr>
          <w:color w:val="auto"/>
          <w:lang w:val="sr-Cyrl-RS"/>
        </w:rPr>
        <w:t>План управљања грађевинским и другим врстама отпада у складу са Законом и да Наручиоцу достави сагласност на план управљања отпадом од грађења и рушења издатог од надлежног органа.</w:t>
      </w:r>
    </w:p>
    <w:p w:rsidR="00265BA4" w:rsidRPr="00FE79D5" w:rsidRDefault="00265BA4" w:rsidP="00265BA4">
      <w:pPr>
        <w:pStyle w:val="ListParagraph"/>
        <w:jc w:val="both"/>
        <w:rPr>
          <w:rFonts w:eastAsia="Calibri"/>
          <w:color w:val="auto"/>
          <w:kern w:val="0"/>
          <w:lang w:val="sr-Cyrl-RS" w:eastAsia="en-US"/>
        </w:rPr>
      </w:pPr>
      <w:r w:rsidRPr="00FE79D5">
        <w:rPr>
          <w:rFonts w:eastAsia="Calibri"/>
          <w:color w:val="auto"/>
          <w:kern w:val="0"/>
          <w:lang w:val="sr-Cyrl-RS" w:eastAsia="en-US"/>
        </w:rPr>
        <w:t>Локација за складиштење отпада је на делу катастарске парцеле број 4518/2 КО Блаце.</w:t>
      </w:r>
    </w:p>
    <w:p w:rsidR="00BA7046" w:rsidRPr="00FE79D5" w:rsidRDefault="00BA7046" w:rsidP="00BA7046">
      <w:pPr>
        <w:pStyle w:val="ListParagraph"/>
        <w:widowControl w:val="0"/>
        <w:numPr>
          <w:ilvl w:val="0"/>
          <w:numId w:val="6"/>
        </w:numPr>
        <w:suppressAutoHyphens w:val="0"/>
        <w:autoSpaceDE w:val="0"/>
        <w:autoSpaceDN w:val="0"/>
        <w:spacing w:line="240" w:lineRule="auto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>Пројекат привремене саобраћајне сигнализације и опреме, да поднесе захтев надлежном органу за измену режима саобраћаја током извођења радова и да обезбеди постављање привремене сигнализације на путу, за све време извођења радова;</w:t>
      </w:r>
    </w:p>
    <w:p w:rsidR="00BA7046" w:rsidRPr="00FE79D5" w:rsidRDefault="00BA7046" w:rsidP="00BA7046">
      <w:pPr>
        <w:pStyle w:val="ListParagraph"/>
        <w:widowControl w:val="0"/>
        <w:numPr>
          <w:ilvl w:val="0"/>
          <w:numId w:val="6"/>
        </w:numPr>
        <w:suppressAutoHyphens w:val="0"/>
        <w:autoSpaceDE w:val="0"/>
        <w:autoSpaceDN w:val="0"/>
        <w:spacing w:line="240" w:lineRule="auto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>Елаборат уређења градилишта и пријави градилиште надлежној Инспекцији рада, најмање 7 дана пре планираниог почетка радова,</w:t>
      </w:r>
    </w:p>
    <w:p w:rsidR="00BA7046" w:rsidRDefault="00BA7046" w:rsidP="006B68C9">
      <w:pPr>
        <w:jc w:val="both"/>
        <w:rPr>
          <w:rFonts w:eastAsia="Calibri"/>
          <w:color w:val="FF0000"/>
          <w:kern w:val="0"/>
          <w:lang w:val="sr-Latn-RS" w:eastAsia="en-US"/>
        </w:rPr>
      </w:pPr>
    </w:p>
    <w:p w:rsidR="00BA7046" w:rsidRPr="00BA7046" w:rsidRDefault="00BA7046" w:rsidP="006B68C9">
      <w:pPr>
        <w:jc w:val="both"/>
        <w:rPr>
          <w:rFonts w:eastAsia="Calibri"/>
          <w:color w:val="FF0000"/>
          <w:kern w:val="0"/>
          <w:lang w:val="sr-Latn-RS" w:eastAsia="en-US"/>
        </w:rPr>
      </w:pPr>
    </w:p>
    <w:p w:rsidR="006B68C9" w:rsidRDefault="006B68C9" w:rsidP="006B68C9">
      <w:pPr>
        <w:rPr>
          <w:lang w:val="sr-Latn-RS"/>
        </w:rPr>
      </w:pPr>
    </w:p>
    <w:p w:rsidR="006B68C9" w:rsidRPr="00FE79D5" w:rsidRDefault="006B68C9" w:rsidP="006B68C9">
      <w:pPr>
        <w:rPr>
          <w:color w:val="auto"/>
          <w:szCs w:val="22"/>
          <w:lang w:val="sr-Cyrl-RS"/>
        </w:rPr>
      </w:pPr>
      <w:r w:rsidRPr="00FE79D5">
        <w:rPr>
          <w:color w:val="auto"/>
          <w:szCs w:val="22"/>
          <w:lang w:val="sr-Cyrl-RS"/>
        </w:rPr>
        <w:lastRenderedPageBreak/>
        <w:t>Следећа документа, којима се може приступити преко наведених линкова, чине саставни део техничког описа и уговора:</w:t>
      </w:r>
    </w:p>
    <w:p w:rsidR="006B68C9" w:rsidRPr="00FE79D5" w:rsidRDefault="006B68C9" w:rsidP="006B68C9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="567" w:hanging="567"/>
        <w:contextualSpacing w:val="0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>Пројекта за извођење (ПЗИ)</w:t>
      </w:r>
    </w:p>
    <w:p w:rsidR="006B68C9" w:rsidRPr="006B68C9" w:rsidRDefault="006B68C9" w:rsidP="006B68C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color w:val="0070C0"/>
          <w:lang w:val="sr-Cyrl-RS"/>
        </w:rPr>
      </w:pPr>
      <w:r w:rsidRPr="006B68C9">
        <w:rPr>
          <w:color w:val="0070C0"/>
          <w:lang w:val="sr-Cyrl-RS"/>
        </w:rPr>
        <w:t>https://www.blace.org.rs/images/dokumenta/pzi/PZI%20Rekonstrukcija%20ulice%20Bra%C4%87e%20Vuksanovi%C4%87%20u%20naselju%20Blace%20sa%20pripadaju%C4%87om%20infrastrukturom.zip</w:t>
      </w:r>
    </w:p>
    <w:p w:rsidR="006B68C9" w:rsidRPr="00FE79D5" w:rsidRDefault="006B68C9" w:rsidP="006B68C9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="567" w:hanging="567"/>
        <w:contextualSpacing w:val="0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>Контролна листа плана управљања утицајима пројекта на еколошко и друштвено окружење (ЕСМП Контролна листа)</w:t>
      </w:r>
    </w:p>
    <w:p w:rsidR="006B68C9" w:rsidRPr="006B68C9" w:rsidRDefault="006B68C9" w:rsidP="006B68C9">
      <w:pPr>
        <w:pStyle w:val="ListParagraph"/>
        <w:widowControl w:val="0"/>
        <w:suppressAutoHyphens w:val="0"/>
        <w:autoSpaceDE w:val="0"/>
        <w:autoSpaceDN w:val="0"/>
        <w:adjustRightInd w:val="0"/>
        <w:spacing w:line="240" w:lineRule="auto"/>
        <w:ind w:left="567"/>
        <w:contextualSpacing w:val="0"/>
        <w:jc w:val="both"/>
        <w:rPr>
          <w:color w:val="0070C0"/>
          <w:lang w:val="sr-Cyrl-RS"/>
        </w:rPr>
      </w:pPr>
      <w:r w:rsidRPr="006B68C9">
        <w:rPr>
          <w:color w:val="0070C0"/>
          <w:lang w:val="sr-Cyrl-RS"/>
        </w:rPr>
        <w:t>https://www.blace.org.rs/images/dokumenta/LIID_Kontrolna-lista_Blace_v.2.docx</w:t>
      </w:r>
    </w:p>
    <w:p w:rsidR="006B68C9" w:rsidRPr="00FE79D5" w:rsidRDefault="006B68C9" w:rsidP="006B68C9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="567" w:hanging="567"/>
        <w:contextualSpacing w:val="0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>План укључивања заинтересованих страна (СЕП)</w:t>
      </w:r>
    </w:p>
    <w:p w:rsidR="006B68C9" w:rsidRPr="006B68C9" w:rsidRDefault="006B68C9" w:rsidP="006B68C9">
      <w:pPr>
        <w:ind w:left="360" w:firstLine="207"/>
        <w:rPr>
          <w:color w:val="4F81BD" w:themeColor="accent1"/>
          <w:szCs w:val="22"/>
          <w:lang w:val="sr-Cyrl-RS"/>
        </w:rPr>
      </w:pPr>
      <w:r w:rsidRPr="006B68C9">
        <w:rPr>
          <w:color w:val="4F81BD" w:themeColor="accent1"/>
          <w:szCs w:val="22"/>
          <w:lang w:val="sr-Cyrl-RS"/>
        </w:rPr>
        <w:t>https://www.blace.org.rs/images/dokumenta/SEP__LIID_Blace.pdf</w:t>
      </w:r>
    </w:p>
    <w:p w:rsidR="006B68C9" w:rsidRPr="007F4DEB" w:rsidRDefault="006B68C9" w:rsidP="006B68C9">
      <w:pPr>
        <w:rPr>
          <w:szCs w:val="22"/>
          <w:lang w:val="sr-Cyrl-RS"/>
        </w:rPr>
      </w:pPr>
    </w:p>
    <w:p w:rsidR="006B68C9" w:rsidRPr="00FE79D5" w:rsidRDefault="006B68C9" w:rsidP="006B68C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ind w:left="567" w:hanging="567"/>
        <w:contextualSpacing w:val="0"/>
        <w:jc w:val="both"/>
        <w:rPr>
          <w:color w:val="auto"/>
          <w:lang w:val="sr-Cyrl-RS"/>
        </w:rPr>
      </w:pPr>
      <w:r w:rsidRPr="00FE79D5">
        <w:rPr>
          <w:color w:val="auto"/>
          <w:lang w:val="sr-Cyrl-RS"/>
        </w:rPr>
        <w:t xml:space="preserve">Планска документација - </w:t>
      </w:r>
      <w:r w:rsidRPr="00FE79D5">
        <w:rPr>
          <w:bCs/>
          <w:color w:val="auto"/>
          <w:lang w:val="sr-Cyrl-RS"/>
        </w:rPr>
        <w:t>План генералне регулације насеља Блаце („Службени лист општине Блаце“ бр.7/17)</w:t>
      </w:r>
    </w:p>
    <w:p w:rsidR="006B68C9" w:rsidRPr="006B68C9" w:rsidRDefault="006B68C9" w:rsidP="006B68C9">
      <w:pPr>
        <w:rPr>
          <w:color w:val="0070C0"/>
          <w:szCs w:val="22"/>
          <w:lang w:val="sr-Cyrl-RS"/>
        </w:rPr>
      </w:pPr>
      <w:r>
        <w:rPr>
          <w:color w:val="0070C0"/>
          <w:szCs w:val="22"/>
          <w:lang w:val="sr-Cyrl-RS"/>
        </w:rPr>
        <w:t xml:space="preserve">          </w:t>
      </w:r>
      <w:hyperlink r:id="rId7" w:history="1">
        <w:r w:rsidRPr="006B68C9">
          <w:rPr>
            <w:rStyle w:val="Hyperlink"/>
            <w:color w:val="0070C0"/>
            <w:szCs w:val="22"/>
            <w:u w:val="none"/>
          </w:rPr>
          <w:t>https://www.blace.org.rs/images/dokumenta/generalni-plan/PGR-Opstine-Blace--2017.pdf</w:t>
        </w:r>
      </w:hyperlink>
    </w:p>
    <w:p w:rsidR="006B68C9" w:rsidRPr="006B68C9" w:rsidRDefault="006B68C9" w:rsidP="006B68C9">
      <w:pPr>
        <w:rPr>
          <w:lang w:val="sr-Cyrl-RS"/>
        </w:rPr>
      </w:pPr>
    </w:p>
    <w:p w:rsidR="006B68C9" w:rsidRPr="00FE79D5" w:rsidRDefault="006B68C9" w:rsidP="006B68C9">
      <w:pPr>
        <w:rPr>
          <w:color w:val="auto"/>
          <w:szCs w:val="22"/>
          <w:lang w:val="sr-Cyrl-RS"/>
        </w:rPr>
      </w:pPr>
      <w:r w:rsidRPr="00FE79D5">
        <w:rPr>
          <w:color w:val="auto"/>
          <w:szCs w:val="22"/>
          <w:lang w:val="sr-Cyrl-RS"/>
        </w:rPr>
        <w:t xml:space="preserve">Све трошкове који произилазе из обавеза које су додељене извођачу у оквиру Контролне листе плана управљања утицајима пројекта на еколошко и друштвено окружење (ЕСМП Контролна листа) и </w:t>
      </w:r>
      <w:bookmarkStart w:id="0" w:name="_GoBack"/>
      <w:bookmarkEnd w:id="0"/>
      <w:r w:rsidRPr="00FE79D5">
        <w:rPr>
          <w:color w:val="auto"/>
          <w:szCs w:val="22"/>
          <w:lang w:val="sr-Cyrl-RS"/>
        </w:rPr>
        <w:t>Плана укључивања заинтересованих страна (СЕП), понуђач (извођач) треба да обрачуна и укључи у одговарајуће позиције Обрасца структуре цене.</w:t>
      </w:r>
    </w:p>
    <w:p w:rsidR="006B68C9" w:rsidRPr="00556817" w:rsidRDefault="006B68C9" w:rsidP="006B68C9">
      <w:pPr>
        <w:rPr>
          <w:lang w:val="sr-Latn-RS"/>
        </w:rPr>
      </w:pPr>
    </w:p>
    <w:p w:rsidR="006B68C9" w:rsidRDefault="006B68C9" w:rsidP="00D55575">
      <w:pPr>
        <w:jc w:val="both"/>
        <w:rPr>
          <w:lang w:val="sr-Cyrl-CS"/>
        </w:rPr>
      </w:pPr>
    </w:p>
    <w:p w:rsidR="007D694A" w:rsidRDefault="007D694A" w:rsidP="00D86D19">
      <w:pPr>
        <w:rPr>
          <w:lang w:val="sr-Cyrl-CS"/>
        </w:rPr>
      </w:pPr>
    </w:p>
    <w:p w:rsidR="00D86D19" w:rsidRPr="00D86D19" w:rsidRDefault="00527C62" w:rsidP="00D86D19">
      <w:pPr>
        <w:rPr>
          <w:b/>
          <w:lang w:val="sr-Cyrl-CS"/>
        </w:rPr>
      </w:pPr>
      <w:r>
        <w:rPr>
          <w:b/>
          <w:lang w:val="sr-Cyrl-CS"/>
        </w:rPr>
        <w:t>5.</w:t>
      </w:r>
      <w:r w:rsidR="00D86D19" w:rsidRPr="00D86D19">
        <w:rPr>
          <w:b/>
          <w:lang w:val="sr-Cyrl-CS"/>
        </w:rPr>
        <w:t>РОК ЗА ИЗВОЂЕЊЕ</w:t>
      </w:r>
    </w:p>
    <w:p w:rsidR="00D86D19" w:rsidRPr="00D86D19" w:rsidRDefault="00D86D19" w:rsidP="00D86D19">
      <w:pPr>
        <w:rPr>
          <w:lang w:val="sr-Cyrl-CS"/>
        </w:rPr>
      </w:pPr>
      <w:r w:rsidRPr="00D86D19">
        <w:rPr>
          <w:lang w:val="sr-Cyrl-CS"/>
        </w:rPr>
        <w:t>Рок за извођење одређује се понудом и уговором о извођењу.</w:t>
      </w:r>
    </w:p>
    <w:p w:rsidR="00D86D19" w:rsidRPr="00D86D19" w:rsidRDefault="00D86D19" w:rsidP="00D86D19">
      <w:pPr>
        <w:rPr>
          <w:lang w:val="sr-Cyrl-CS"/>
        </w:rPr>
      </w:pPr>
      <w:r w:rsidRPr="00D86D19">
        <w:rPr>
          <w:lang w:val="sr-Cyrl-CS"/>
        </w:rPr>
        <w:t xml:space="preserve">Рок за извођење не може бити дужи </w:t>
      </w:r>
      <w:r w:rsidRPr="007B0C3A">
        <w:rPr>
          <w:lang w:val="sr-Cyrl-CS"/>
        </w:rPr>
        <w:t xml:space="preserve">од </w:t>
      </w:r>
      <w:r w:rsidR="006B68C9">
        <w:rPr>
          <w:lang w:val="sr-Cyrl-CS"/>
        </w:rPr>
        <w:t>120</w:t>
      </w:r>
      <w:r w:rsidRPr="007B0C3A">
        <w:rPr>
          <w:color w:val="FF0000"/>
          <w:lang w:val="sr-Cyrl-CS"/>
        </w:rPr>
        <w:t xml:space="preserve"> </w:t>
      </w:r>
      <w:r w:rsidRPr="007B0C3A">
        <w:rPr>
          <w:lang w:val="sr-Cyrl-CS"/>
        </w:rPr>
        <w:t>календарских дана</w:t>
      </w:r>
      <w:r w:rsidRPr="00D86D19">
        <w:rPr>
          <w:lang w:val="sr-Cyrl-CS"/>
        </w:rPr>
        <w:t xml:space="preserve"> од дана увођења извођача у посао.</w:t>
      </w:r>
    </w:p>
    <w:sectPr w:rsidR="00D86D19" w:rsidRPr="00D86D19" w:rsidSect="000F7CA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0E6"/>
    <w:multiLevelType w:val="hybridMultilevel"/>
    <w:tmpl w:val="3D1476F0"/>
    <w:lvl w:ilvl="0" w:tplc="8BE8E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63DCC"/>
    <w:multiLevelType w:val="hybridMultilevel"/>
    <w:tmpl w:val="CFF2FD8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D56FB"/>
    <w:multiLevelType w:val="hybridMultilevel"/>
    <w:tmpl w:val="63E0E57A"/>
    <w:lvl w:ilvl="0" w:tplc="931036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B05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5">
    <w:nsid w:val="525A04B4"/>
    <w:multiLevelType w:val="hybridMultilevel"/>
    <w:tmpl w:val="CBD092E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11D90"/>
    <w:rsid w:val="00020C19"/>
    <w:rsid w:val="00024A28"/>
    <w:rsid w:val="00041A54"/>
    <w:rsid w:val="0009372F"/>
    <w:rsid w:val="000978F4"/>
    <w:rsid w:val="000A5DB6"/>
    <w:rsid w:val="000D770B"/>
    <w:rsid w:val="000F1B2F"/>
    <w:rsid w:val="000F7CA6"/>
    <w:rsid w:val="001046B8"/>
    <w:rsid w:val="001266F4"/>
    <w:rsid w:val="001371BA"/>
    <w:rsid w:val="00170EF0"/>
    <w:rsid w:val="001777F2"/>
    <w:rsid w:val="001812F7"/>
    <w:rsid w:val="001916AC"/>
    <w:rsid w:val="001A1109"/>
    <w:rsid w:val="001C02E7"/>
    <w:rsid w:val="001D2F57"/>
    <w:rsid w:val="001D6C00"/>
    <w:rsid w:val="001F77F0"/>
    <w:rsid w:val="00246C93"/>
    <w:rsid w:val="00263A10"/>
    <w:rsid w:val="00265BA4"/>
    <w:rsid w:val="00272A6E"/>
    <w:rsid w:val="00276C09"/>
    <w:rsid w:val="002936EF"/>
    <w:rsid w:val="002B3DFC"/>
    <w:rsid w:val="002B6C0D"/>
    <w:rsid w:val="002C471C"/>
    <w:rsid w:val="002C679B"/>
    <w:rsid w:val="002D355E"/>
    <w:rsid w:val="002F3DF9"/>
    <w:rsid w:val="00302E52"/>
    <w:rsid w:val="0030359A"/>
    <w:rsid w:val="00316025"/>
    <w:rsid w:val="003462ED"/>
    <w:rsid w:val="003A108D"/>
    <w:rsid w:val="003B1272"/>
    <w:rsid w:val="003C24D3"/>
    <w:rsid w:val="003C5C38"/>
    <w:rsid w:val="003D5C12"/>
    <w:rsid w:val="003E3D84"/>
    <w:rsid w:val="003F1F9B"/>
    <w:rsid w:val="003F35EB"/>
    <w:rsid w:val="00401D22"/>
    <w:rsid w:val="00410FAF"/>
    <w:rsid w:val="0041572C"/>
    <w:rsid w:val="00423A86"/>
    <w:rsid w:val="00477E88"/>
    <w:rsid w:val="004915F0"/>
    <w:rsid w:val="004A1932"/>
    <w:rsid w:val="004A1F43"/>
    <w:rsid w:val="004A6486"/>
    <w:rsid w:val="004C189D"/>
    <w:rsid w:val="004D1F51"/>
    <w:rsid w:val="004D4CF0"/>
    <w:rsid w:val="004F33E3"/>
    <w:rsid w:val="005169D2"/>
    <w:rsid w:val="0052397F"/>
    <w:rsid w:val="00527C62"/>
    <w:rsid w:val="00531BFC"/>
    <w:rsid w:val="00533253"/>
    <w:rsid w:val="00536A16"/>
    <w:rsid w:val="0054719A"/>
    <w:rsid w:val="00556817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3CA8"/>
    <w:rsid w:val="00665748"/>
    <w:rsid w:val="00670550"/>
    <w:rsid w:val="00680F44"/>
    <w:rsid w:val="00690121"/>
    <w:rsid w:val="006954A2"/>
    <w:rsid w:val="006A5CE6"/>
    <w:rsid w:val="006A6502"/>
    <w:rsid w:val="006B68C9"/>
    <w:rsid w:val="006D4559"/>
    <w:rsid w:val="006F1715"/>
    <w:rsid w:val="00710896"/>
    <w:rsid w:val="007210BE"/>
    <w:rsid w:val="00725258"/>
    <w:rsid w:val="00732B5B"/>
    <w:rsid w:val="007525F9"/>
    <w:rsid w:val="0078179E"/>
    <w:rsid w:val="00792846"/>
    <w:rsid w:val="007A244B"/>
    <w:rsid w:val="007B0C3A"/>
    <w:rsid w:val="007C09EA"/>
    <w:rsid w:val="007D694A"/>
    <w:rsid w:val="008209D7"/>
    <w:rsid w:val="00823909"/>
    <w:rsid w:val="008713B1"/>
    <w:rsid w:val="008957B6"/>
    <w:rsid w:val="008957D3"/>
    <w:rsid w:val="008A294E"/>
    <w:rsid w:val="008C629E"/>
    <w:rsid w:val="008D64FA"/>
    <w:rsid w:val="008E1D6D"/>
    <w:rsid w:val="008F4003"/>
    <w:rsid w:val="0092492E"/>
    <w:rsid w:val="009336A4"/>
    <w:rsid w:val="00934CDD"/>
    <w:rsid w:val="00950546"/>
    <w:rsid w:val="00955494"/>
    <w:rsid w:val="009717B9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17281"/>
    <w:rsid w:val="00A26566"/>
    <w:rsid w:val="00A53B5B"/>
    <w:rsid w:val="00A76BD8"/>
    <w:rsid w:val="00AB4B84"/>
    <w:rsid w:val="00AC4F41"/>
    <w:rsid w:val="00AD0E20"/>
    <w:rsid w:val="00AD3180"/>
    <w:rsid w:val="00B022F3"/>
    <w:rsid w:val="00B14A9B"/>
    <w:rsid w:val="00B21680"/>
    <w:rsid w:val="00B279B0"/>
    <w:rsid w:val="00B42A90"/>
    <w:rsid w:val="00B53132"/>
    <w:rsid w:val="00B6579A"/>
    <w:rsid w:val="00B771BC"/>
    <w:rsid w:val="00B8469D"/>
    <w:rsid w:val="00B90F8E"/>
    <w:rsid w:val="00B91A20"/>
    <w:rsid w:val="00B92EB4"/>
    <w:rsid w:val="00B93BEC"/>
    <w:rsid w:val="00B97F14"/>
    <w:rsid w:val="00BA7046"/>
    <w:rsid w:val="00BB079D"/>
    <w:rsid w:val="00BB1F8E"/>
    <w:rsid w:val="00BB2B00"/>
    <w:rsid w:val="00BD6C60"/>
    <w:rsid w:val="00BD7BD5"/>
    <w:rsid w:val="00C03E6D"/>
    <w:rsid w:val="00C076C1"/>
    <w:rsid w:val="00C11A15"/>
    <w:rsid w:val="00C17BBF"/>
    <w:rsid w:val="00C21F66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075D"/>
    <w:rsid w:val="00D30DF0"/>
    <w:rsid w:val="00D33EE7"/>
    <w:rsid w:val="00D50B7B"/>
    <w:rsid w:val="00D5535E"/>
    <w:rsid w:val="00D55575"/>
    <w:rsid w:val="00D56A49"/>
    <w:rsid w:val="00D64013"/>
    <w:rsid w:val="00D720B3"/>
    <w:rsid w:val="00D74B29"/>
    <w:rsid w:val="00D86D19"/>
    <w:rsid w:val="00D93138"/>
    <w:rsid w:val="00D94D8F"/>
    <w:rsid w:val="00DB1A09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147A"/>
    <w:rsid w:val="00E415A8"/>
    <w:rsid w:val="00E451C9"/>
    <w:rsid w:val="00E4685C"/>
    <w:rsid w:val="00E56479"/>
    <w:rsid w:val="00E921E6"/>
    <w:rsid w:val="00EC03E9"/>
    <w:rsid w:val="00ED7569"/>
    <w:rsid w:val="00F004CB"/>
    <w:rsid w:val="00F16935"/>
    <w:rsid w:val="00F40C82"/>
    <w:rsid w:val="00F41499"/>
    <w:rsid w:val="00F42724"/>
    <w:rsid w:val="00F9060A"/>
    <w:rsid w:val="00F932D8"/>
    <w:rsid w:val="00F94F03"/>
    <w:rsid w:val="00F97B68"/>
    <w:rsid w:val="00FA747F"/>
    <w:rsid w:val="00FB377D"/>
    <w:rsid w:val="00FB7BD3"/>
    <w:rsid w:val="00FC3DF8"/>
    <w:rsid w:val="00FC5A5F"/>
    <w:rsid w:val="00FC670F"/>
    <w:rsid w:val="00FD5095"/>
    <w:rsid w:val="00FE53FB"/>
    <w:rsid w:val="00FE79D5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Normal"/>
    <w:link w:val="ListParagraphChar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7D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Dot pt Char,IBL List Paragraph Char,List Paragraph 1 Char,List Paragraph nowy Char,List Paragraph-ExecSummary Char"/>
    <w:link w:val="ListParagraph"/>
    <w:uiPriority w:val="34"/>
    <w:qFormat/>
    <w:rsid w:val="0055681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505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Normal"/>
    <w:link w:val="ListParagraphChar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7D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Dot pt Char,IBL List Paragraph Char,List Paragraph 1 Char,List Paragraph nowy Char,List Paragraph-ExecSummary Char"/>
    <w:link w:val="ListParagraph"/>
    <w:uiPriority w:val="34"/>
    <w:qFormat/>
    <w:rsid w:val="0055681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505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ace.org.rs/images/dokumenta/generalni-plan/PGR-Opstine-Blace--20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7C5D-8839-45A2-A314-6580BDD3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milena.mrdelic@blace.org.rs</cp:lastModifiedBy>
  <cp:revision>140</cp:revision>
  <cp:lastPrinted>2025-02-07T08:44:00Z</cp:lastPrinted>
  <dcterms:created xsi:type="dcterms:W3CDTF">2022-01-21T10:24:00Z</dcterms:created>
  <dcterms:modified xsi:type="dcterms:W3CDTF">2026-02-24T12:10:00Z</dcterms:modified>
</cp:coreProperties>
</file>