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7F6B1" w14:textId="77777777" w:rsidR="00AD4455" w:rsidRPr="00AD4455" w:rsidRDefault="00AD4455" w:rsidP="00AD4455">
      <w:pPr>
        <w:jc w:val="center"/>
        <w:rPr>
          <w:b/>
          <w:bCs/>
          <w:sz w:val="28"/>
          <w:szCs w:val="28"/>
        </w:rPr>
      </w:pPr>
      <w:r w:rsidRPr="00AD4455">
        <w:rPr>
          <w:b/>
          <w:bCs/>
          <w:sz w:val="28"/>
          <w:szCs w:val="28"/>
        </w:rPr>
        <w:t>GENERAL DATA ON THE SUBJECT OF PROCUREMENT</w:t>
      </w:r>
    </w:p>
    <w:tbl>
      <w:tblPr>
        <w:tblW w:w="9057" w:type="dxa"/>
        <w:tblInd w:w="10" w:type="dxa"/>
        <w:tblLayout w:type="fixed"/>
        <w:tblCellMar>
          <w:left w:w="10" w:type="dxa"/>
          <w:right w:w="10" w:type="dxa"/>
        </w:tblCellMar>
        <w:tblLook w:val="04A0" w:firstRow="1" w:lastRow="0" w:firstColumn="1" w:lastColumn="0" w:noHBand="0" w:noVBand="1"/>
      </w:tblPr>
      <w:tblGrid>
        <w:gridCol w:w="3246"/>
        <w:gridCol w:w="5811"/>
      </w:tblGrid>
      <w:tr w:rsidR="00AD4455" w:rsidRPr="00AD4455" w14:paraId="6D05931A" w14:textId="77777777" w:rsidTr="00AD4455">
        <w:trPr>
          <w:trHeight w:hRule="exact" w:val="999"/>
        </w:trPr>
        <w:tc>
          <w:tcPr>
            <w:tcW w:w="3246" w:type="dxa"/>
            <w:tcBorders>
              <w:top w:val="single" w:sz="4" w:space="0" w:color="auto"/>
              <w:left w:val="single" w:sz="4" w:space="0" w:color="auto"/>
            </w:tcBorders>
            <w:shd w:val="clear" w:color="auto" w:fill="FFFFFF"/>
          </w:tcPr>
          <w:p w14:paraId="49E8EC70" w14:textId="77777777" w:rsidR="00AD4455" w:rsidRPr="00AD4455" w:rsidRDefault="00AD4455" w:rsidP="00AD4455">
            <w:r w:rsidRPr="00AD4455">
              <w:t>Name:</w:t>
            </w:r>
          </w:p>
        </w:tc>
        <w:tc>
          <w:tcPr>
            <w:tcW w:w="5811" w:type="dxa"/>
            <w:tcBorders>
              <w:top w:val="single" w:sz="4" w:space="0" w:color="auto"/>
              <w:left w:val="single" w:sz="4" w:space="0" w:color="auto"/>
              <w:right w:val="single" w:sz="4" w:space="0" w:color="auto"/>
            </w:tcBorders>
            <w:shd w:val="clear" w:color="auto" w:fill="FFFFFF"/>
            <w:vAlign w:val="bottom"/>
          </w:tcPr>
          <w:p w14:paraId="07C35E4E" w14:textId="77777777" w:rsidR="00AD4455" w:rsidRPr="00AD4455" w:rsidRDefault="00AD4455" w:rsidP="00AD4455">
            <w:r w:rsidRPr="00AD4455">
              <w:rPr>
                <w:b/>
                <w:bCs/>
              </w:rPr>
              <w:t>Execution of works on the construction of the new University Children's Hospital in Tiršova 2 in Belgrade</w:t>
            </w:r>
          </w:p>
        </w:tc>
      </w:tr>
      <w:tr w:rsidR="00AD4455" w:rsidRPr="00AD4455" w14:paraId="3A60058C" w14:textId="77777777" w:rsidTr="00AD4455">
        <w:trPr>
          <w:trHeight w:hRule="exact" w:val="422"/>
        </w:trPr>
        <w:tc>
          <w:tcPr>
            <w:tcW w:w="3246" w:type="dxa"/>
            <w:tcBorders>
              <w:top w:val="single" w:sz="4" w:space="0" w:color="auto"/>
              <w:left w:val="single" w:sz="4" w:space="0" w:color="auto"/>
            </w:tcBorders>
            <w:shd w:val="clear" w:color="auto" w:fill="FFFFFF"/>
            <w:vAlign w:val="bottom"/>
          </w:tcPr>
          <w:p w14:paraId="09E93234" w14:textId="77777777" w:rsidR="00AD4455" w:rsidRPr="00AD4455" w:rsidRDefault="00AD4455" w:rsidP="00AD4455">
            <w:r w:rsidRPr="00AD4455">
              <w:t>Reference number:</w:t>
            </w:r>
          </w:p>
        </w:tc>
        <w:tc>
          <w:tcPr>
            <w:tcW w:w="5811" w:type="dxa"/>
            <w:tcBorders>
              <w:top w:val="single" w:sz="4" w:space="0" w:color="auto"/>
              <w:left w:val="single" w:sz="4" w:space="0" w:color="auto"/>
              <w:right w:val="single" w:sz="4" w:space="0" w:color="auto"/>
            </w:tcBorders>
            <w:shd w:val="clear" w:color="auto" w:fill="FFFFFF"/>
            <w:vAlign w:val="bottom"/>
          </w:tcPr>
          <w:p w14:paraId="52379BC7" w14:textId="6CEE65AE" w:rsidR="00AD4455" w:rsidRPr="00AD4455" w:rsidRDefault="00AD4455" w:rsidP="00AD4455">
            <w:r w:rsidRPr="00AD4455">
              <w:rPr>
                <w:b/>
                <w:bCs/>
              </w:rPr>
              <w:t>OP/7</w:t>
            </w:r>
            <w:r w:rsidR="0022574A">
              <w:rPr>
                <w:b/>
                <w:bCs/>
              </w:rPr>
              <w:t>5</w:t>
            </w:r>
            <w:r w:rsidRPr="00AD4455">
              <w:rPr>
                <w:b/>
                <w:bCs/>
              </w:rPr>
              <w:t>-202</w:t>
            </w:r>
            <w:r w:rsidR="000935F5">
              <w:rPr>
                <w:b/>
                <w:bCs/>
              </w:rPr>
              <w:t>3</w:t>
            </w:r>
            <w:r w:rsidRPr="00AD4455">
              <w:rPr>
                <w:b/>
                <w:bCs/>
              </w:rPr>
              <w:t>/UCH2</w:t>
            </w:r>
          </w:p>
        </w:tc>
      </w:tr>
      <w:tr w:rsidR="00AD4455" w:rsidRPr="00AD4455" w14:paraId="55B53F73" w14:textId="77777777" w:rsidTr="00AD4455">
        <w:trPr>
          <w:trHeight w:hRule="exact" w:val="575"/>
        </w:trPr>
        <w:tc>
          <w:tcPr>
            <w:tcW w:w="3246" w:type="dxa"/>
            <w:tcBorders>
              <w:top w:val="single" w:sz="4" w:space="0" w:color="auto"/>
              <w:left w:val="single" w:sz="4" w:space="0" w:color="auto"/>
              <w:bottom w:val="single" w:sz="4" w:space="0" w:color="auto"/>
            </w:tcBorders>
            <w:shd w:val="clear" w:color="auto" w:fill="FFFFFF"/>
            <w:vAlign w:val="bottom"/>
          </w:tcPr>
          <w:p w14:paraId="10C1A70D" w14:textId="77777777" w:rsidR="00AD4455" w:rsidRPr="00AD4455" w:rsidRDefault="00AD4455" w:rsidP="00AD4455">
            <w:r w:rsidRPr="00AD4455">
              <w:t>Type of procurement procedure: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bottom"/>
          </w:tcPr>
          <w:p w14:paraId="7032535E" w14:textId="77777777" w:rsidR="00AD4455" w:rsidRPr="00AD4455" w:rsidRDefault="00AD4455" w:rsidP="00AD4455">
            <w:r w:rsidRPr="00AD4455">
              <w:rPr>
                <w:b/>
                <w:bCs/>
              </w:rPr>
              <w:t>Works</w:t>
            </w:r>
          </w:p>
        </w:tc>
      </w:tr>
    </w:tbl>
    <w:p w14:paraId="6610E266" w14:textId="566ADD1E" w:rsidR="00FF6E94" w:rsidRDefault="00FF6E94"/>
    <w:p w14:paraId="5CB1B1C5" w14:textId="151293BF" w:rsidR="00AD4455" w:rsidRDefault="00AD4455">
      <w:pPr>
        <w:rPr>
          <w:b/>
          <w:bCs/>
        </w:rPr>
      </w:pPr>
      <w:r w:rsidRPr="00AD4455">
        <w:rPr>
          <w:b/>
          <w:bCs/>
        </w:rPr>
        <w:t>Description:</w:t>
      </w:r>
    </w:p>
    <w:p w14:paraId="3F037E82" w14:textId="77777777" w:rsidR="00AD4455" w:rsidRPr="00AD4455" w:rsidRDefault="00AD4455" w:rsidP="00AD4455">
      <w:pPr>
        <w:jc w:val="both"/>
      </w:pPr>
      <w:r w:rsidRPr="00AD4455">
        <w:t>The construction of the building of the new UCH, Tiršova 2 in Belgrade, is planned on the plots of cadastral parcels 1660/3 and 1660/4,CM Savski Venac. Currently, car access to the plots is possible via Deligradska Street, which runs southeast of the plot and ends blindly next to the plot itself. From there, the street continues as a pedestrian path that continues to the footbridge and crosses the E70 highway.  An internal road is planned from the future roundabout near the "City ER" to Deligradska Street, which will be used exclusively for the function of the UCH Tiršova 2.</w:t>
      </w:r>
    </w:p>
    <w:p w14:paraId="041918F9" w14:textId="77777777" w:rsidR="00AD4455" w:rsidRPr="00AD4455" w:rsidRDefault="00AD4455" w:rsidP="00AD4455">
      <w:pPr>
        <w:jc w:val="both"/>
      </w:pPr>
      <w:r w:rsidRPr="00AD4455">
        <w:t>The plot on which the subject building is planned to be built is on a slope. The terrain falls from Kosta Todorovića Street towards the highway, in a northeast-southwest direction. The height difference between the elevation of the traffic road in Dr. Kosta Todorovića and the access road from the southwest side of the building from which vehicular access to the garage on level Bsmt-1 is planned is about 13m, and the access road within plot 1660/3 continues to fall until it is connected to the roundabout stream, where it is lower by 15 m compared to the elevation in the zone of vehicular access to the garages.</w:t>
      </w:r>
    </w:p>
    <w:p w14:paraId="51DFB078" w14:textId="77777777" w:rsidR="00AD4455" w:rsidRPr="00AD4455" w:rsidRDefault="00AD4455" w:rsidP="00AD4455">
      <w:pPr>
        <w:jc w:val="both"/>
      </w:pPr>
      <w:r w:rsidRPr="00AD4455">
        <w:t xml:space="preserve">Preparatory works on the development of the arrangement site was carried out on the plot, which includes: the organization of the construction site, construction of the construction road, and works on the construction of support structures and securing the foundation pit. </w:t>
      </w:r>
    </w:p>
    <w:p w14:paraId="0D81C549" w14:textId="77777777" w:rsidR="00AD4455" w:rsidRPr="00AD4455" w:rsidRDefault="00AD4455" w:rsidP="00AD4455">
      <w:pPr>
        <w:jc w:val="both"/>
      </w:pPr>
      <w:r w:rsidRPr="00AD4455">
        <w:t>The total area of the land plot is 33,670 m2.</w:t>
      </w:r>
    </w:p>
    <w:p w14:paraId="467A4541" w14:textId="77777777" w:rsidR="00AD4455" w:rsidRPr="00AD4455" w:rsidRDefault="00AD4455" w:rsidP="00AD4455">
      <w:pPr>
        <w:jc w:val="both"/>
      </w:pPr>
      <w:r w:rsidRPr="00AD4455">
        <w:t>The building is basically rectangular in shape. In addition to the main building, there is also a substation for medical gases on the plot. The gross area of the building of the new UCH is 61,923.98 m2, and the projection area of the UCH is 7,061.96 m2.</w:t>
      </w:r>
    </w:p>
    <w:p w14:paraId="5BBFB03E" w14:textId="77777777" w:rsidR="00AD4455" w:rsidRPr="00AD4455" w:rsidRDefault="00AD4455" w:rsidP="00AD4455">
      <w:pPr>
        <w:jc w:val="both"/>
      </w:pPr>
      <w:r w:rsidRPr="00AD4455">
        <w:t>The projection/gross area of the medical gases station building is 95.45 m2.</w:t>
      </w:r>
    </w:p>
    <w:p w14:paraId="63D92E5C" w14:textId="77777777" w:rsidR="00AD4455" w:rsidRPr="00AD4455" w:rsidRDefault="00AD4455" w:rsidP="00AD4455">
      <w:pPr>
        <w:jc w:val="both"/>
      </w:pPr>
      <w:r w:rsidRPr="00AD4455">
        <w:t>The number of floors of the building is 3Bsmt+2Sbsmt+GF+5.</w:t>
      </w:r>
    </w:p>
    <w:p w14:paraId="1DD47895" w14:textId="77777777" w:rsidR="00AD4455" w:rsidRPr="00AD4455" w:rsidRDefault="00AD4455" w:rsidP="00AD4455">
      <w:pPr>
        <w:jc w:val="both"/>
      </w:pPr>
      <w:r w:rsidRPr="00AD4455">
        <w:t>The number of patient beds is 167-230 and 71 beds within the day hospital.</w:t>
      </w:r>
    </w:p>
    <w:p w14:paraId="7B22BAF3" w14:textId="77777777" w:rsidR="00AD4455" w:rsidRPr="00AD4455" w:rsidRDefault="00AD4455" w:rsidP="00AD4455">
      <w:pPr>
        <w:jc w:val="both"/>
      </w:pPr>
      <w:r w:rsidRPr="00AD4455">
        <w:t>The number of parking spaces is 528 (of which 68 are for people with reduced mobility).</w:t>
      </w:r>
    </w:p>
    <w:p w14:paraId="7E6AFFC6" w14:textId="77777777" w:rsidR="00AD4455" w:rsidRPr="00AD4455" w:rsidRDefault="00AD4455" w:rsidP="00AD4455">
      <w:pPr>
        <w:jc w:val="both"/>
      </w:pPr>
      <w:r w:rsidRPr="00AD4455">
        <w:t>The functional program defined through the Feasibility Study identified seven basic units within the facility:</w:t>
      </w:r>
    </w:p>
    <w:p w14:paraId="69E346BD" w14:textId="77777777" w:rsidR="00AD4455" w:rsidRPr="00AD4455" w:rsidRDefault="00AD4455" w:rsidP="00AD4455">
      <w:pPr>
        <w:jc w:val="both"/>
      </w:pPr>
      <w:r w:rsidRPr="00AD4455">
        <w:t>1. Examination and treatment</w:t>
      </w:r>
    </w:p>
    <w:p w14:paraId="4F1DAB95" w14:textId="77777777" w:rsidR="00AD4455" w:rsidRPr="00AD4455" w:rsidRDefault="00AD4455" w:rsidP="00AD4455">
      <w:pPr>
        <w:jc w:val="both"/>
      </w:pPr>
      <w:r w:rsidRPr="00AD4455">
        <w:t>2. Patient care</w:t>
      </w:r>
    </w:p>
    <w:p w14:paraId="404C54B0" w14:textId="77777777" w:rsidR="00AD4455" w:rsidRPr="00AD4455" w:rsidRDefault="00AD4455" w:rsidP="00AD4455">
      <w:pPr>
        <w:jc w:val="both"/>
      </w:pPr>
      <w:r w:rsidRPr="00AD4455">
        <w:t>3. Supply and disposal</w:t>
      </w:r>
    </w:p>
    <w:p w14:paraId="4B59AA72" w14:textId="77777777" w:rsidR="00AD4455" w:rsidRPr="00AD4455" w:rsidRDefault="00AD4455" w:rsidP="00AD4455">
      <w:pPr>
        <w:jc w:val="both"/>
      </w:pPr>
      <w:r w:rsidRPr="00AD4455">
        <w:lastRenderedPageBreak/>
        <w:t xml:space="preserve"> 4. Administration</w:t>
      </w:r>
    </w:p>
    <w:p w14:paraId="49ECAE55" w14:textId="77777777" w:rsidR="00AD4455" w:rsidRPr="00AD4455" w:rsidRDefault="00AD4455" w:rsidP="00AD4455">
      <w:pPr>
        <w:jc w:val="both"/>
      </w:pPr>
      <w:r w:rsidRPr="00AD4455">
        <w:t>5. Scientific research and academic part</w:t>
      </w:r>
    </w:p>
    <w:p w14:paraId="17E8C155" w14:textId="77777777" w:rsidR="00AD4455" w:rsidRPr="00AD4455" w:rsidRDefault="00AD4455" w:rsidP="00AD4455">
      <w:pPr>
        <w:jc w:val="both"/>
      </w:pPr>
      <w:r w:rsidRPr="00AD4455">
        <w:t xml:space="preserve">6. Technical premises </w:t>
      </w:r>
    </w:p>
    <w:p w14:paraId="574D942C" w14:textId="77777777" w:rsidR="00AD4455" w:rsidRPr="00AD4455" w:rsidRDefault="00AD4455" w:rsidP="00AD4455">
      <w:pPr>
        <w:jc w:val="both"/>
      </w:pPr>
      <w:r w:rsidRPr="00AD4455">
        <w:t>7. Social  services</w:t>
      </w:r>
    </w:p>
    <w:p w14:paraId="563A41F6" w14:textId="77777777" w:rsidR="00AD4455" w:rsidRPr="00AD4455" w:rsidRDefault="00AD4455" w:rsidP="00AD4455">
      <w:pPr>
        <w:jc w:val="both"/>
      </w:pPr>
      <w:r w:rsidRPr="00AD4455">
        <w:t>Three basic units are located on the ground floor level (Central area, Outpatient-polyclinic part, and Emergency reception). On the floor - Basement 1, there are the most intersections of daily and inpatient routes. The following units are located on this floor: Radiological diagnostics, Endoscopy, Central laboratory with blood bank, Physiatry, Day Surgery, and Department of genetics and immunology.</w:t>
      </w:r>
    </w:p>
    <w:p w14:paraId="14015C60" w14:textId="77777777" w:rsidR="00AD4455" w:rsidRPr="00AD4455" w:rsidRDefault="00AD4455" w:rsidP="00AD4455">
      <w:pPr>
        <w:jc w:val="both"/>
      </w:pPr>
      <w:r w:rsidRPr="00AD4455">
        <w:t>Inpatient facilities are provided on the 1st, 2nd, 3rd, and 4th floors. These floors are much smaller than the ground and basement floors. Unlike them, which are rectangular in shape, the stationary floors enclose a space in the shape of the Latin letter H.</w:t>
      </w:r>
    </w:p>
    <w:p w14:paraId="04BAC1E2" w14:textId="030D7713" w:rsidR="00AD4455" w:rsidRDefault="00AD4455" w:rsidP="00AD4455">
      <w:pPr>
        <w:jc w:val="both"/>
      </w:pPr>
      <w:r w:rsidRPr="00AD4455">
        <w:t>With this, a larger area of the facade and the possibility of creating a larger number of rooms with natural lighting have been achieved. Four wings are formed in the hospital, which can function as independent units. The inpatient general (basic) care with accompanying rooms is planned for two-thirds of the 1st floor(three wings - southwest, southeast, and northeast); half of the 2nd floor (two wings - southwest and southeast). The hemodialysis department is located on the 1st floor next to the general care inpatients, in the north wing. Within the 2nd floor, directly above the hemodialysis department, is the chemotherapy department. The third floor is divided into four units - the transplant department in the northwest wing, the burn department in the northeast wing, the general care inpatient section between these two wings, and the neonatology department (which also belongs to the general care level) occupying the southwest and southeast wings(the whole half third floor). On the 4th floor are the OR block and intensive care. On the 5th floor are administration and education.</w:t>
      </w:r>
    </w:p>
    <w:p w14:paraId="5D342DEF" w14:textId="77777777" w:rsidR="00AD4455" w:rsidRPr="00AD4455" w:rsidRDefault="00AD4455" w:rsidP="00AD4455">
      <w:pPr>
        <w:jc w:val="both"/>
      </w:pPr>
    </w:p>
    <w:p w14:paraId="7D5B1C46" w14:textId="7CBEB13A" w:rsidR="00AD4455" w:rsidRDefault="00AD4455" w:rsidP="00AD4455">
      <w:pPr>
        <w:jc w:val="both"/>
        <w:rPr>
          <w:b/>
          <w:bCs/>
        </w:rPr>
      </w:pPr>
      <w:r w:rsidRPr="00AD4455">
        <w:rPr>
          <w:b/>
          <w:bCs/>
        </w:rPr>
        <w:t>Other notes:</w:t>
      </w:r>
    </w:p>
    <w:p w14:paraId="4A5C43A9" w14:textId="509C76F8" w:rsidR="00FE3D1D" w:rsidRDefault="00FE3D1D" w:rsidP="00FE3D1D">
      <w:pPr>
        <w:pStyle w:val="ListParagraph"/>
        <w:jc w:val="both"/>
        <w:rPr>
          <w:lang w:val="sr-Latn-CS"/>
        </w:rPr>
      </w:pPr>
    </w:p>
    <w:p w14:paraId="7F7802D9" w14:textId="4854D6BD" w:rsidR="00C35BC1" w:rsidRPr="0039203C" w:rsidRDefault="00FE3D1D" w:rsidP="00AD4455">
      <w:pPr>
        <w:pStyle w:val="ListParagraph"/>
        <w:numPr>
          <w:ilvl w:val="0"/>
          <w:numId w:val="2"/>
        </w:numPr>
        <w:jc w:val="both"/>
      </w:pPr>
      <w:r w:rsidRPr="0039203C">
        <w:rPr>
          <w:lang w:val="sr-Latn-CS"/>
        </w:rPr>
        <w:t>This public procurement will be financed  from the Framework Loan Agreement LD 2009 (2019) between the Council of Europe Development Bank and the Republic of Serbia for a project loan for the construction of a new University Children's Clinic, Tiršova 2 in Belgrade,</w:t>
      </w:r>
      <w:r w:rsidRPr="0039203C">
        <w:rPr>
          <w:lang w:val="sr-Cyrl-CS"/>
        </w:rPr>
        <w:t xml:space="preserve"> concluded on </w:t>
      </w:r>
      <w:r w:rsidRPr="0039203C">
        <w:rPr>
          <w:lang w:val="sr-Latn-CS"/>
        </w:rPr>
        <w:t>18</w:t>
      </w:r>
      <w:r w:rsidRPr="0039203C">
        <w:rPr>
          <w:vertAlign w:val="superscript"/>
          <w:lang w:val="sr-Latn-CS"/>
        </w:rPr>
        <w:t>th</w:t>
      </w:r>
      <w:r w:rsidRPr="0039203C">
        <w:rPr>
          <w:lang w:val="sr-Latn-CS"/>
        </w:rPr>
        <w:t xml:space="preserve"> </w:t>
      </w:r>
      <w:r w:rsidRPr="0039203C">
        <w:rPr>
          <w:lang w:val="sr-Cyrl-CS"/>
        </w:rPr>
        <w:t>Nov 201</w:t>
      </w:r>
      <w:r w:rsidRPr="0039203C">
        <w:rPr>
          <w:lang w:val="sr-Latn-CS"/>
        </w:rPr>
        <w:t>9</w:t>
      </w:r>
      <w:r w:rsidRPr="0039203C">
        <w:rPr>
          <w:vertAlign w:val="superscript"/>
          <w:lang w:val="sr-Cyrl-CS"/>
        </w:rPr>
        <w:t>th</w:t>
      </w:r>
      <w:r w:rsidRPr="0039203C">
        <w:rPr>
          <w:lang w:val="sr-Cyrl-CS"/>
        </w:rPr>
        <w:t xml:space="preserve"> in </w:t>
      </w:r>
      <w:r w:rsidRPr="0039203C">
        <w:rPr>
          <w:lang w:val="sr-Latn-CS"/>
        </w:rPr>
        <w:t>Belgrade and on 20</w:t>
      </w:r>
      <w:r w:rsidRPr="0039203C">
        <w:rPr>
          <w:vertAlign w:val="superscript"/>
          <w:lang w:val="sr-Latn-CS"/>
        </w:rPr>
        <w:t>th</w:t>
      </w:r>
      <w:r w:rsidRPr="0039203C">
        <w:rPr>
          <w:lang w:val="sr-Latn-CS"/>
        </w:rPr>
        <w:t xml:space="preserve"> Nov 2019</w:t>
      </w:r>
      <w:r w:rsidRPr="0039203C">
        <w:rPr>
          <w:vertAlign w:val="superscript"/>
          <w:lang w:val="sr-Latn-CS"/>
        </w:rPr>
        <w:t>th</w:t>
      </w:r>
      <w:r w:rsidRPr="0039203C">
        <w:rPr>
          <w:lang w:val="sr-Latn-CS"/>
        </w:rPr>
        <w:t xml:space="preserve"> in Paris, ratified by the Law on Ratification of the Framework Loan Agreement LD 2009 (2019) between </w:t>
      </w:r>
      <w:r w:rsidRPr="0039203C">
        <w:t>Council of Europe Development Bank</w:t>
      </w:r>
      <w:r w:rsidRPr="0039203C">
        <w:rPr>
          <w:lang w:val="sr-Latn-CS"/>
        </w:rPr>
        <w:t xml:space="preserve"> and the Republic of Serbia for a project loan for the construction of a new University Children's Clinic, Tiršova 2 in Belgrade ("Official Gazette of RS" - International Agreements, No. 2/2020). The part of the funds for the implementation of the procurement in question will be also financed from the Grant Agreement (Grant Project under the Western Balkans Investment Framework) for the construction of the new University Children's Hospital, Tiršova 2 in Belgrade no. WBIF: WB-IG06-SRB-SOC-02, CEB:LD 2009 (2019), which is </w:t>
      </w:r>
      <w:r w:rsidR="000935F5">
        <w:rPr>
          <w:lang w:val="sr-Latn-CS"/>
        </w:rPr>
        <w:t>signed</w:t>
      </w:r>
      <w:r w:rsidRPr="0039203C">
        <w:rPr>
          <w:lang w:val="sr-Latn-CS"/>
        </w:rPr>
        <w:t xml:space="preserve"> in Paris on March 6, 2023 between the Republic of Serbia and the Council of Europe Development Bank, as well as from other sources. </w:t>
      </w:r>
    </w:p>
    <w:p w14:paraId="6AA13BA6" w14:textId="467A4C49" w:rsidR="00C35BC1" w:rsidRDefault="00C35BC1" w:rsidP="00AD4455">
      <w:pPr>
        <w:pStyle w:val="ListParagraph"/>
        <w:jc w:val="both"/>
        <w:rPr>
          <w:lang w:val="sr-Latn-CS"/>
        </w:rPr>
      </w:pPr>
    </w:p>
    <w:p w14:paraId="0FB99AF8" w14:textId="634C071F" w:rsidR="006B4C33" w:rsidRPr="0039203C" w:rsidRDefault="00C35BC1" w:rsidP="0039203C">
      <w:pPr>
        <w:pStyle w:val="ListParagraph"/>
        <w:numPr>
          <w:ilvl w:val="0"/>
          <w:numId w:val="2"/>
        </w:numPr>
        <w:jc w:val="both"/>
        <w:rPr>
          <w:lang w:val="sr-Latn-CS"/>
        </w:rPr>
      </w:pPr>
      <w:r w:rsidRPr="0039203C">
        <w:rPr>
          <w:lang w:val="sr-Latn-CS"/>
        </w:rPr>
        <w:t>In case of inconsistency between the published Tender documentation in Serbian and English, it will be given priority to the Serbian version of the Tender Documentation.</w:t>
      </w:r>
    </w:p>
    <w:p w14:paraId="57CC4BBF" w14:textId="77777777" w:rsidR="006B4C33" w:rsidRPr="006B4C33" w:rsidRDefault="006B4C33" w:rsidP="0039203C">
      <w:pPr>
        <w:pStyle w:val="ListParagraph"/>
        <w:jc w:val="both"/>
        <w:rPr>
          <w:lang w:val="sr-Latn-CS"/>
        </w:rPr>
      </w:pPr>
    </w:p>
    <w:p w14:paraId="2720F53B" w14:textId="5221EC53" w:rsidR="006B4C33" w:rsidRDefault="006B4C33" w:rsidP="0039203C">
      <w:pPr>
        <w:pStyle w:val="ListParagraph"/>
        <w:numPr>
          <w:ilvl w:val="0"/>
          <w:numId w:val="2"/>
        </w:numPr>
        <w:jc w:val="both"/>
        <w:rPr>
          <w:lang w:val="sr-Latn-CS"/>
        </w:rPr>
      </w:pPr>
      <w:bookmarkStart w:id="0" w:name="_Hlk131415435"/>
      <w:r w:rsidRPr="006B4C33">
        <w:rPr>
          <w:lang w:val="sr-Latn-CS"/>
        </w:rPr>
        <w:t>In order to ensure the efficiency of the public procurement procedure, please submit requests for clarification of tender documents bilingually, i.e. in both Serbian and English.</w:t>
      </w:r>
    </w:p>
    <w:p w14:paraId="03D533BF" w14:textId="77777777" w:rsidR="00AF2386" w:rsidRPr="00AF2386" w:rsidRDefault="00AF2386" w:rsidP="0039203C">
      <w:pPr>
        <w:pStyle w:val="ListParagraph"/>
        <w:jc w:val="both"/>
        <w:rPr>
          <w:lang w:val="sr-Latn-CS"/>
        </w:rPr>
      </w:pPr>
    </w:p>
    <w:p w14:paraId="1CAA8CD4" w14:textId="77777777" w:rsidR="00AF2386" w:rsidRPr="00AF2386" w:rsidRDefault="00AF2386" w:rsidP="0039203C">
      <w:pPr>
        <w:pStyle w:val="ListParagraph"/>
        <w:numPr>
          <w:ilvl w:val="0"/>
          <w:numId w:val="2"/>
        </w:numPr>
        <w:jc w:val="both"/>
        <w:rPr>
          <w:lang w:val="sr-Latn-CS"/>
        </w:rPr>
      </w:pPr>
      <w:r w:rsidRPr="00AF2386">
        <w:rPr>
          <w:lang w:val="sr-Latn-CS"/>
        </w:rPr>
        <w:t>Any fee for the use of patents and the responsibility for violation of protected intellectual rights are to be borne by tenderers.</w:t>
      </w:r>
    </w:p>
    <w:p w14:paraId="6DC02A9E" w14:textId="77777777" w:rsidR="00AF2386" w:rsidRPr="00AF2386" w:rsidRDefault="00AF2386" w:rsidP="00AF2386">
      <w:pPr>
        <w:pStyle w:val="ListParagraph"/>
        <w:jc w:val="both"/>
        <w:rPr>
          <w:lang w:val="sr-Latn-CS"/>
        </w:rPr>
      </w:pPr>
    </w:p>
    <w:bookmarkEnd w:id="0"/>
    <w:p w14:paraId="650CC148" w14:textId="355FCC76" w:rsidR="00B60436" w:rsidRDefault="00B60436" w:rsidP="00AD4455">
      <w:pPr>
        <w:pStyle w:val="ListParagraph"/>
        <w:jc w:val="both"/>
        <w:rPr>
          <w:lang w:val="sr-Latn-CS"/>
        </w:rPr>
      </w:pPr>
    </w:p>
    <w:p w14:paraId="37339486" w14:textId="50D5A15C" w:rsidR="00B60436" w:rsidRDefault="00B60436" w:rsidP="00AD4455">
      <w:pPr>
        <w:pStyle w:val="ListParagraph"/>
        <w:jc w:val="both"/>
        <w:rPr>
          <w:lang w:val="sr-Latn-CS"/>
        </w:rPr>
      </w:pPr>
    </w:p>
    <w:p w14:paraId="2E9C279B" w14:textId="77777777" w:rsidR="00B60436" w:rsidRPr="00AD4455" w:rsidRDefault="00B60436" w:rsidP="00AD4455">
      <w:pPr>
        <w:pStyle w:val="ListParagraph"/>
        <w:jc w:val="both"/>
        <w:rPr>
          <w:lang w:val="sr-Latn-CS"/>
        </w:rPr>
      </w:pPr>
    </w:p>
    <w:p w14:paraId="01F3DE99" w14:textId="77777777" w:rsidR="00AD4455" w:rsidRPr="00AD4455" w:rsidRDefault="00AD4455" w:rsidP="00AD4455">
      <w:pPr>
        <w:pStyle w:val="ListParagraph"/>
        <w:jc w:val="both"/>
        <w:rPr>
          <w:lang w:val="sr-Latn-CS"/>
        </w:rPr>
      </w:pPr>
    </w:p>
    <w:p w14:paraId="3AA1F2CF" w14:textId="77777777" w:rsidR="00AD4455" w:rsidRPr="00AD4455" w:rsidRDefault="00AD4455" w:rsidP="00AD4455">
      <w:pPr>
        <w:jc w:val="both"/>
        <w:rPr>
          <w:b/>
          <w:bCs/>
        </w:rPr>
      </w:pPr>
    </w:p>
    <w:sectPr w:rsidR="00AD4455" w:rsidRPr="00AD4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8190A"/>
    <w:multiLevelType w:val="hybridMultilevel"/>
    <w:tmpl w:val="844CF2E2"/>
    <w:lvl w:ilvl="0" w:tplc="043001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BE7432"/>
    <w:multiLevelType w:val="hybridMultilevel"/>
    <w:tmpl w:val="8F0AE3C8"/>
    <w:lvl w:ilvl="0" w:tplc="16CE55D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4726890">
    <w:abstractNumId w:val="1"/>
  </w:num>
  <w:num w:numId="2" w16cid:durableId="8057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F5"/>
    <w:rsid w:val="000935F5"/>
    <w:rsid w:val="0022574A"/>
    <w:rsid w:val="00244882"/>
    <w:rsid w:val="00260C49"/>
    <w:rsid w:val="002E6914"/>
    <w:rsid w:val="0039203C"/>
    <w:rsid w:val="0039722E"/>
    <w:rsid w:val="003C0111"/>
    <w:rsid w:val="005836FA"/>
    <w:rsid w:val="00621E78"/>
    <w:rsid w:val="00623D8C"/>
    <w:rsid w:val="006B4C33"/>
    <w:rsid w:val="00844CF2"/>
    <w:rsid w:val="00AD4455"/>
    <w:rsid w:val="00AF2386"/>
    <w:rsid w:val="00B60436"/>
    <w:rsid w:val="00C35BC1"/>
    <w:rsid w:val="00C959F5"/>
    <w:rsid w:val="00D3508A"/>
    <w:rsid w:val="00FE3D1D"/>
    <w:rsid w:val="00FF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6B79"/>
  <w15:chartTrackingRefBased/>
  <w15:docId w15:val="{358AC274-B611-4EF3-8D22-F8456233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Nenadić</dc:creator>
  <cp:keywords/>
  <dc:description/>
  <cp:lastModifiedBy>Dragana Nenadić</cp:lastModifiedBy>
  <cp:revision>23</cp:revision>
  <dcterms:created xsi:type="dcterms:W3CDTF">2023-02-28T09:01:00Z</dcterms:created>
  <dcterms:modified xsi:type="dcterms:W3CDTF">2023-07-04T11:23:00Z</dcterms:modified>
</cp:coreProperties>
</file>