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6CE7" w14:textId="5C860ED6" w:rsidR="00A52AB3" w:rsidRDefault="00A52AB3" w:rsidP="00A52AB3">
      <w:pPr>
        <w:pStyle w:val="Heading2"/>
        <w:pageBreakBefore w:val="0"/>
        <w:rPr>
          <w:lang w:val="en-US"/>
        </w:rPr>
      </w:pPr>
      <w:r w:rsidRPr="00214688">
        <w:rPr>
          <w:lang w:val="en-US"/>
        </w:rPr>
        <w:t xml:space="preserve">DESCRIPTION </w:t>
      </w:r>
      <w:r>
        <w:rPr>
          <w:lang w:val="en-US"/>
        </w:rPr>
        <w:t>AND SPECIFICATIONS OF SUBJECT</w:t>
      </w:r>
      <w:r w:rsidR="0021588B">
        <w:rPr>
          <w:lang w:val="en-US"/>
        </w:rPr>
        <w:t xml:space="preserve"> OF PROCUREMENT</w:t>
      </w:r>
    </w:p>
    <w:p w14:paraId="5E7E9A34" w14:textId="77777777" w:rsidR="00A52AB3" w:rsidRPr="00A52AB3" w:rsidRDefault="00A52AB3" w:rsidP="00A52AB3">
      <w:pPr>
        <w:rPr>
          <w:rFonts w:eastAsia="Calibri-Bold"/>
        </w:rPr>
      </w:pPr>
    </w:p>
    <w:p w14:paraId="39EEB740" w14:textId="0B0EF269" w:rsidR="00A52AB3" w:rsidRDefault="00A52AB3" w:rsidP="00A52AB3">
      <w:pPr>
        <w:pStyle w:val="nabrajanjebold"/>
      </w:pPr>
      <w:r w:rsidRPr="00214688">
        <w:t>Type of works</w:t>
      </w:r>
    </w:p>
    <w:p w14:paraId="57766E13" w14:textId="77777777" w:rsidR="005F3460" w:rsidRPr="00214688" w:rsidRDefault="005F3460" w:rsidP="005F3460">
      <w:pPr>
        <w:pStyle w:val="nabrajanjebold"/>
        <w:numPr>
          <w:ilvl w:val="0"/>
          <w:numId w:val="0"/>
        </w:numPr>
        <w:ind w:left="786"/>
      </w:pPr>
    </w:p>
    <w:p w14:paraId="15F8DD7B" w14:textId="75C53E10" w:rsidR="00A52AB3" w:rsidRPr="00214688" w:rsidRDefault="002A021D" w:rsidP="00A52AB3">
      <w:pPr>
        <w:widowControl w:val="0"/>
        <w:autoSpaceDE w:val="0"/>
        <w:autoSpaceDN w:val="0"/>
        <w:adjustRightInd w:val="0"/>
        <w:ind w:firstLine="709"/>
        <w:jc w:val="both"/>
        <w:rPr>
          <w:szCs w:val="24"/>
        </w:rPr>
      </w:pPr>
      <w:r>
        <w:rPr>
          <w:rFonts w:eastAsia="Calibri-Bold"/>
          <w:bCs/>
          <w:color w:val="000000"/>
          <w:szCs w:val="24"/>
        </w:rPr>
        <w:t xml:space="preserve">EXECUTION OF </w:t>
      </w:r>
      <w:r w:rsidR="00D704C7" w:rsidRPr="00D704C7">
        <w:rPr>
          <w:rFonts w:eastAsia="Calibri-Bold"/>
          <w:bCs/>
          <w:color w:val="000000"/>
          <w:szCs w:val="24"/>
        </w:rPr>
        <w:t>WORKS ON CONSTRUCTION</w:t>
      </w:r>
      <w:r>
        <w:rPr>
          <w:rFonts w:eastAsia="Calibri-Bold"/>
          <w:bCs/>
          <w:color w:val="000000"/>
          <w:szCs w:val="24"/>
        </w:rPr>
        <w:t xml:space="preserve"> OF</w:t>
      </w:r>
      <w:r w:rsidR="00D704C7" w:rsidRPr="00D704C7">
        <w:rPr>
          <w:rFonts w:eastAsia="Calibri-Bold"/>
          <w:bCs/>
          <w:color w:val="000000"/>
          <w:szCs w:val="24"/>
        </w:rPr>
        <w:t xml:space="preserve"> </w:t>
      </w:r>
      <w:r>
        <w:rPr>
          <w:rFonts w:eastAsia="Calibri-Bold"/>
          <w:bCs/>
          <w:color w:val="000000"/>
          <w:szCs w:val="24"/>
        </w:rPr>
        <w:t>NEW UNIVERSITY CHILDREN'S HOSPITAL TIRSOVA 2 IN BELGRADE</w:t>
      </w:r>
      <w:r w:rsidR="00D704C7">
        <w:rPr>
          <w:rFonts w:eastAsia="Calibri-Bold"/>
          <w:bCs/>
          <w:color w:val="000000"/>
          <w:szCs w:val="24"/>
        </w:rPr>
        <w:t>,</w:t>
      </w:r>
      <w:r w:rsidR="00A52AB3" w:rsidRPr="00214688">
        <w:rPr>
          <w:rFonts w:eastAsia="Calibri-Bold"/>
          <w:bCs/>
          <w:color w:val="000000"/>
          <w:szCs w:val="24"/>
        </w:rPr>
        <w:t xml:space="preserve"> in accordance with the technical documentation, specifications and technical requirements that form integral part of the Tender </w:t>
      </w:r>
      <w:r w:rsidR="00224AF0">
        <w:rPr>
          <w:rFonts w:eastAsia="Calibri-Bold"/>
          <w:bCs/>
          <w:color w:val="000000"/>
          <w:szCs w:val="24"/>
        </w:rPr>
        <w:t>D</w:t>
      </w:r>
      <w:r w:rsidR="00A52AB3" w:rsidRPr="00214688">
        <w:rPr>
          <w:rFonts w:eastAsia="Calibri-Bold"/>
          <w:bCs/>
          <w:color w:val="000000"/>
          <w:szCs w:val="24"/>
        </w:rPr>
        <w:t>ocumentation</w:t>
      </w:r>
      <w:r w:rsidR="00A52AB3" w:rsidRPr="00214688">
        <w:rPr>
          <w:szCs w:val="24"/>
        </w:rPr>
        <w:t>.</w:t>
      </w:r>
    </w:p>
    <w:p w14:paraId="07557940" w14:textId="77777777" w:rsidR="00A52AB3" w:rsidRPr="00214688" w:rsidRDefault="00A52AB3" w:rsidP="00A52AB3">
      <w:pPr>
        <w:ind w:left="708"/>
        <w:rPr>
          <w:rFonts w:eastAsia="Calibri-Bold"/>
          <w:bCs/>
          <w:color w:val="000000"/>
          <w:szCs w:val="24"/>
        </w:rPr>
      </w:pPr>
    </w:p>
    <w:p w14:paraId="75193D40" w14:textId="7569B720" w:rsidR="00A52AB3" w:rsidRDefault="00A52AB3" w:rsidP="00A52AB3">
      <w:pPr>
        <w:pStyle w:val="nabrajanjebold"/>
        <w:numPr>
          <w:ilvl w:val="0"/>
          <w:numId w:val="2"/>
        </w:numPr>
      </w:pPr>
      <w:r w:rsidRPr="00214688">
        <w:t>Technical characteristics, quality, quantity, description of works</w:t>
      </w:r>
    </w:p>
    <w:p w14:paraId="73A339DD" w14:textId="77777777" w:rsidR="005F3460" w:rsidRPr="00214688" w:rsidRDefault="005F3460" w:rsidP="005F3460">
      <w:pPr>
        <w:pStyle w:val="nabrajanjebold"/>
        <w:numPr>
          <w:ilvl w:val="0"/>
          <w:numId w:val="0"/>
        </w:numPr>
        <w:ind w:left="786"/>
      </w:pPr>
    </w:p>
    <w:p w14:paraId="644FB882" w14:textId="4F2BD8A3" w:rsidR="00A52AB3" w:rsidRDefault="00A52AB3" w:rsidP="00A52AB3">
      <w:pPr>
        <w:widowControl w:val="0"/>
        <w:autoSpaceDE w:val="0"/>
        <w:autoSpaceDN w:val="0"/>
        <w:adjustRightInd w:val="0"/>
        <w:ind w:firstLine="709"/>
        <w:jc w:val="both"/>
        <w:rPr>
          <w:rFonts w:eastAsia="Calibri-Bold"/>
          <w:bCs/>
          <w:color w:val="000000"/>
          <w:szCs w:val="24"/>
        </w:rPr>
      </w:pPr>
      <w:r w:rsidRPr="00214688">
        <w:rPr>
          <w:bCs/>
          <w:szCs w:val="24"/>
        </w:rPr>
        <w:t xml:space="preserve">The technical characteristics, quality, </w:t>
      </w:r>
      <w:proofErr w:type="gramStart"/>
      <w:r w:rsidRPr="00214688">
        <w:rPr>
          <w:bCs/>
          <w:szCs w:val="24"/>
        </w:rPr>
        <w:t>quantity</w:t>
      </w:r>
      <w:proofErr w:type="gramEnd"/>
      <w:r w:rsidRPr="00214688">
        <w:rPr>
          <w:bCs/>
          <w:szCs w:val="24"/>
        </w:rPr>
        <w:t xml:space="preserve"> and description of the works are given in </w:t>
      </w:r>
      <w:r w:rsidR="00213823" w:rsidRPr="00213823">
        <w:rPr>
          <w:b/>
          <w:i/>
          <w:iCs/>
          <w:szCs w:val="24"/>
        </w:rPr>
        <w:t>OFFERED</w:t>
      </w:r>
      <w:r w:rsidR="00213823">
        <w:rPr>
          <w:bCs/>
          <w:szCs w:val="24"/>
        </w:rPr>
        <w:t xml:space="preserve"> </w:t>
      </w:r>
      <w:r w:rsidRPr="00214688">
        <w:rPr>
          <w:b/>
          <w:bCs/>
          <w:i/>
          <w:szCs w:val="24"/>
        </w:rPr>
        <w:t>PRICE STRUCTURE</w:t>
      </w:r>
      <w:r w:rsidR="00213823">
        <w:rPr>
          <w:b/>
          <w:bCs/>
          <w:i/>
          <w:szCs w:val="24"/>
        </w:rPr>
        <w:t xml:space="preserve"> </w:t>
      </w:r>
      <w:r w:rsidRPr="00214688">
        <w:rPr>
          <w:b/>
          <w:bCs/>
          <w:i/>
          <w:szCs w:val="24"/>
        </w:rPr>
        <w:t>FORM</w:t>
      </w:r>
      <w:r w:rsidR="005F3460" w:rsidRPr="00214688">
        <w:rPr>
          <w:b/>
          <w:bCs/>
          <w:i/>
          <w:szCs w:val="24"/>
        </w:rPr>
        <w:t>,</w:t>
      </w:r>
      <w:r w:rsidR="005F3460" w:rsidRPr="00214688">
        <w:rPr>
          <w:bCs/>
          <w:szCs w:val="24"/>
        </w:rPr>
        <w:t xml:space="preserve"> </w:t>
      </w:r>
      <w:r w:rsidRPr="00214688">
        <w:rPr>
          <w:bCs/>
          <w:szCs w:val="24"/>
        </w:rPr>
        <w:t>containing the specification of the works, unit of measure, installation of materials, etc. as well as the volume of works that need to be performed</w:t>
      </w:r>
      <w:r w:rsidRPr="00214688">
        <w:rPr>
          <w:rFonts w:eastAsia="Calibri-Bold"/>
          <w:bCs/>
          <w:color w:val="000000"/>
          <w:szCs w:val="24"/>
        </w:rPr>
        <w:t xml:space="preserve">. </w:t>
      </w:r>
    </w:p>
    <w:p w14:paraId="42E44C56" w14:textId="77777777" w:rsidR="00166618" w:rsidRDefault="00166618" w:rsidP="00A52AB3">
      <w:pPr>
        <w:widowControl w:val="0"/>
        <w:autoSpaceDE w:val="0"/>
        <w:autoSpaceDN w:val="0"/>
        <w:adjustRightInd w:val="0"/>
        <w:ind w:firstLine="709"/>
        <w:jc w:val="both"/>
        <w:rPr>
          <w:rFonts w:eastAsia="Calibri-Bold"/>
          <w:bCs/>
          <w:color w:val="000000"/>
          <w:szCs w:val="24"/>
        </w:rPr>
      </w:pPr>
    </w:p>
    <w:p w14:paraId="4C6863E8" w14:textId="295C0F29" w:rsidR="00F07238" w:rsidRPr="00481E6B" w:rsidRDefault="00F07238" w:rsidP="00F07238">
      <w:pPr>
        <w:widowControl w:val="0"/>
        <w:autoSpaceDE w:val="0"/>
        <w:autoSpaceDN w:val="0"/>
        <w:adjustRightInd w:val="0"/>
        <w:ind w:firstLine="709"/>
        <w:jc w:val="both"/>
        <w:rPr>
          <w:rFonts w:eastAsia="Calibri-Bold"/>
          <w:b/>
          <w:color w:val="000000"/>
          <w:szCs w:val="24"/>
        </w:rPr>
      </w:pPr>
      <w:r w:rsidRPr="00481E6B">
        <w:rPr>
          <w:rFonts w:eastAsia="Calibri-Bold"/>
          <w:b/>
          <w:color w:val="000000"/>
          <w:szCs w:val="24"/>
        </w:rPr>
        <w:t xml:space="preserve">In accordance with Article 130, paragraph 6 of the Law on Public Procurement, the Employer requires that the following tasks, i.e. works, must be performed directly by the tenderer himself or a member of the group of tenderers, as follows: all </w:t>
      </w:r>
      <w:r w:rsidR="00481E6B">
        <w:rPr>
          <w:rFonts w:eastAsia="Calibri-Bold"/>
          <w:b/>
          <w:color w:val="000000"/>
          <w:szCs w:val="24"/>
        </w:rPr>
        <w:t>items</w:t>
      </w:r>
      <w:r w:rsidRPr="00481E6B">
        <w:rPr>
          <w:rFonts w:eastAsia="Calibri-Bold"/>
          <w:b/>
          <w:color w:val="000000"/>
          <w:szCs w:val="24"/>
        </w:rPr>
        <w:t xml:space="preserve"> within the architecture </w:t>
      </w:r>
      <w:r w:rsidR="00481E6B">
        <w:rPr>
          <w:rFonts w:eastAsia="Calibri-Bold"/>
          <w:b/>
          <w:color w:val="000000"/>
          <w:szCs w:val="24"/>
        </w:rPr>
        <w:t>design</w:t>
      </w:r>
      <w:r w:rsidRPr="00481E6B">
        <w:rPr>
          <w:rFonts w:eastAsia="Calibri-Bold"/>
          <w:b/>
          <w:color w:val="000000"/>
          <w:szCs w:val="24"/>
        </w:rPr>
        <w:t xml:space="preserve">, all positions within the </w:t>
      </w:r>
      <w:r w:rsidR="00481E6B">
        <w:rPr>
          <w:rFonts w:eastAsia="Calibri-Bold"/>
          <w:b/>
          <w:color w:val="000000"/>
          <w:szCs w:val="24"/>
        </w:rPr>
        <w:t xml:space="preserve">design of </w:t>
      </w:r>
      <w:r w:rsidRPr="00481E6B">
        <w:rPr>
          <w:rFonts w:eastAsia="Calibri-Bold"/>
          <w:b/>
          <w:color w:val="000000"/>
          <w:szCs w:val="24"/>
        </w:rPr>
        <w:t xml:space="preserve">thermomechanical installations and all positions within the </w:t>
      </w:r>
      <w:r w:rsidR="00481E6B">
        <w:rPr>
          <w:rFonts w:eastAsia="Calibri-Bold"/>
          <w:b/>
          <w:color w:val="000000"/>
          <w:szCs w:val="24"/>
        </w:rPr>
        <w:t>design</w:t>
      </w:r>
      <w:r w:rsidRPr="00481E6B">
        <w:rPr>
          <w:rFonts w:eastAsia="Calibri-Bold"/>
          <w:b/>
          <w:color w:val="000000"/>
          <w:szCs w:val="24"/>
        </w:rPr>
        <w:t xml:space="preserve"> of electric power installations listed in the Tender documentation in the part the </w:t>
      </w:r>
      <w:r w:rsidR="00481E6B">
        <w:rPr>
          <w:rFonts w:eastAsia="Calibri-Bold"/>
          <w:b/>
          <w:color w:val="000000"/>
          <w:szCs w:val="24"/>
        </w:rPr>
        <w:t>O</w:t>
      </w:r>
      <w:r w:rsidRPr="00481E6B">
        <w:rPr>
          <w:rFonts w:eastAsia="Calibri-Bold"/>
          <w:b/>
          <w:color w:val="000000"/>
          <w:szCs w:val="24"/>
        </w:rPr>
        <w:t xml:space="preserve">ffered </w:t>
      </w:r>
      <w:r w:rsidR="00BF2DC4">
        <w:rPr>
          <w:rFonts w:eastAsia="Calibri-Bold"/>
          <w:b/>
          <w:color w:val="000000"/>
          <w:szCs w:val="24"/>
        </w:rPr>
        <w:t>P</w:t>
      </w:r>
      <w:r w:rsidRPr="00481E6B">
        <w:rPr>
          <w:rFonts w:eastAsia="Calibri-Bold"/>
          <w:b/>
          <w:color w:val="000000"/>
          <w:szCs w:val="24"/>
        </w:rPr>
        <w:t>rice</w:t>
      </w:r>
      <w:r w:rsidR="00481E6B">
        <w:rPr>
          <w:rFonts w:eastAsia="Calibri-Bold"/>
          <w:b/>
          <w:color w:val="000000"/>
          <w:szCs w:val="24"/>
        </w:rPr>
        <w:t xml:space="preserve"> Structure Form</w:t>
      </w:r>
      <w:r w:rsidRPr="00481E6B">
        <w:rPr>
          <w:rFonts w:eastAsia="Calibri-Bold"/>
          <w:b/>
          <w:color w:val="000000"/>
          <w:szCs w:val="24"/>
        </w:rPr>
        <w:t>.</w:t>
      </w:r>
    </w:p>
    <w:p w14:paraId="6C908C8C" w14:textId="006CDAE3" w:rsidR="002A021D" w:rsidRPr="00481E6B" w:rsidRDefault="002A021D" w:rsidP="005F3460">
      <w:pPr>
        <w:widowControl w:val="0"/>
        <w:autoSpaceDE w:val="0"/>
        <w:autoSpaceDN w:val="0"/>
        <w:adjustRightInd w:val="0"/>
        <w:jc w:val="both"/>
        <w:rPr>
          <w:rFonts w:eastAsia="Calibri-Bold"/>
          <w:b/>
          <w:color w:val="000000"/>
          <w:szCs w:val="24"/>
        </w:rPr>
      </w:pPr>
    </w:p>
    <w:p w14:paraId="11801CA6" w14:textId="274900D4" w:rsidR="002A021D" w:rsidRDefault="002A021D" w:rsidP="00BF70CC">
      <w:pPr>
        <w:pStyle w:val="nabrajanjebold"/>
      </w:pPr>
      <w:r w:rsidRPr="00CB7B9A">
        <w:t>Brief description of works</w:t>
      </w:r>
    </w:p>
    <w:p w14:paraId="36B18681" w14:textId="77777777" w:rsidR="00EE68C6" w:rsidRDefault="00EE68C6" w:rsidP="00EE68C6">
      <w:pPr>
        <w:pStyle w:val="nabrajanjebold"/>
        <w:numPr>
          <w:ilvl w:val="0"/>
          <w:numId w:val="0"/>
        </w:numPr>
        <w:ind w:left="786"/>
      </w:pPr>
    </w:p>
    <w:p w14:paraId="0C34849B" w14:textId="77777777" w:rsidR="00E75D76" w:rsidRPr="00E75D76" w:rsidRDefault="00E75D76" w:rsidP="00A93258">
      <w:pPr>
        <w:widowControl w:val="0"/>
        <w:autoSpaceDE w:val="0"/>
        <w:autoSpaceDN w:val="0"/>
        <w:adjustRightInd w:val="0"/>
        <w:ind w:firstLine="709"/>
        <w:jc w:val="both"/>
        <w:rPr>
          <w:rFonts w:eastAsia="Calibri-Bold"/>
          <w:bCs/>
          <w:szCs w:val="24"/>
        </w:rPr>
      </w:pPr>
      <w:r w:rsidRPr="00E75D76">
        <w:rPr>
          <w:rFonts w:eastAsia="Calibri-Bold"/>
          <w:bCs/>
          <w:szCs w:val="24"/>
        </w:rPr>
        <w:t xml:space="preserve">UCH Tiršova currently is significantly burdened by all shortfalls related to the old facility, which does not provide adequate conditions for optimal treatment and care as well as the optimal functioning of the hospital in line with modern technology. </w:t>
      </w:r>
    </w:p>
    <w:p w14:paraId="1D2DA070" w14:textId="55CFF890" w:rsidR="00A93258" w:rsidRPr="00A93258"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 xml:space="preserve">The main objective of the project is to construct a new, modern University Children’s Hospital, equipped with high-level medical infrastructure by </w:t>
      </w:r>
      <w:proofErr w:type="gramStart"/>
      <w:r w:rsidRPr="00A93258">
        <w:rPr>
          <w:rFonts w:eastAsia="Calibri-Bold"/>
          <w:bCs/>
          <w:color w:val="000000"/>
          <w:szCs w:val="24"/>
        </w:rPr>
        <w:t>end</w:t>
      </w:r>
      <w:proofErr w:type="gramEnd"/>
      <w:r w:rsidRPr="00A93258">
        <w:rPr>
          <w:rFonts w:eastAsia="Calibri-Bold"/>
          <w:bCs/>
          <w:color w:val="000000"/>
          <w:szCs w:val="24"/>
        </w:rPr>
        <w:t xml:space="preserve"> of 2026. The new hospital will be able to provide health care services for young patients in Serbia, in line with European standards. In addition, the hospital may cater to specific, complex pediatric needs of neighboring countries based on bilateral country agreements (such as Montenegro and Bosnia and Herzegovina).</w:t>
      </w:r>
    </w:p>
    <w:p w14:paraId="7A70AA52" w14:textId="77777777" w:rsidR="00A93258" w:rsidRPr="00A93258"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The new hospital will replace the existing building, which will be most likely repurposed as a unit for palliative children's medicine, an accommodation unit for accompanying parents, or a combination of both.</w:t>
      </w:r>
    </w:p>
    <w:p w14:paraId="52592E9D" w14:textId="2FA31569" w:rsidR="00A93258" w:rsidRPr="00272322"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The new hospital will aim to integrate the latest medical science and practice advances – more sophisticated diagnostic imaging, minimally invasive diagnostic and treatment technologies, safer and more precise surgical technologies, robotic surgery, more sophisticated patient monitoring, and new fields of therapeutic diagnosis and treatment such as genetics.</w:t>
      </w:r>
    </w:p>
    <w:p w14:paraId="12F889B1" w14:textId="77777777" w:rsidR="00A93258" w:rsidRPr="00A93258"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 xml:space="preserve">The new UCH Tiršova will be built in a location very close to the current University Clinical Centre of Serbia hosting various clinics. It will be in the proximity of the Clinic for Gynecology and Obstetrics, with a maternity ward, and within 500 meters from the current UCH Tiršova. The organization and the structure of the building is designed according to international best practice, established through intense dialogue between the users (medical staff and </w:t>
      </w:r>
      <w:r w:rsidRPr="00A93258">
        <w:rPr>
          <w:rFonts w:eastAsia="Calibri-Bold"/>
          <w:bCs/>
          <w:color w:val="000000"/>
          <w:szCs w:val="24"/>
        </w:rPr>
        <w:lastRenderedPageBreak/>
        <w:t>management from UCH Tiršova) and international experts engaged in the pre-feasibility, and feasibility study phases.</w:t>
      </w:r>
    </w:p>
    <w:p w14:paraId="63C6FE7A" w14:textId="77777777" w:rsidR="00A93258" w:rsidRPr="00A93258"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 xml:space="preserve">The end users of the new hospital building will be the same medical staff that now occupies the current UCH Tiršova and the same population of patients. It is important to mention that health insurance in Serbia is available to everyone, with equal quality, regardless of social category. </w:t>
      </w:r>
    </w:p>
    <w:p w14:paraId="7058EB9B" w14:textId="04E2F29A" w:rsidR="00A93258"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The benefits of the new space will be obvious to all patients, but the main increase in quality of service will be to vulnerable groups, belonging to the social category with low income. Currently, UCH Tiršova doesn’t provide any support for the accompanying parents (there are no beds for parents), whose children need to stay in the hospital. That produces tremendous problems for low-income citizens, coming from distant cities or rural areas, who are not able to provide themselves with accommodation. The new building will have the capacity to provide a proper family environment in double-bed rooms, which will have a therapeutic effect on patients.</w:t>
      </w:r>
    </w:p>
    <w:p w14:paraId="3D3B3E95" w14:textId="77777777" w:rsidR="00A93258" w:rsidRPr="00A93258"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 xml:space="preserve">The construction of the building of the new University Children's Clinic, Tiršova 2 in Belgrade, is planned on the plots of c.p. 1660/3 and 1660/4, CM Savski Venac. Currently, car access to the </w:t>
      </w:r>
      <w:proofErr w:type="gramStart"/>
      <w:r w:rsidRPr="00A93258">
        <w:rPr>
          <w:rFonts w:eastAsia="Calibri-Bold"/>
          <w:bCs/>
          <w:color w:val="000000"/>
          <w:szCs w:val="24"/>
        </w:rPr>
        <w:t>plots</w:t>
      </w:r>
      <w:proofErr w:type="gramEnd"/>
      <w:r w:rsidRPr="00A93258">
        <w:rPr>
          <w:rFonts w:eastAsia="Calibri-Bold"/>
          <w:bCs/>
          <w:color w:val="000000"/>
          <w:szCs w:val="24"/>
        </w:rPr>
        <w:t xml:space="preserve"> is possible via Deligradska Street, which runs southeast of the plot and ends blindly next to the plot itself. From there, the street continues as a pedestrian path that continues to the footbridge and crosses the E70 highway. An internal road is planned from the future roundabout near the "City Institute for Emergency Medical Assistance" to Deligradska Street, which will be used exclusively for the function of the "University Children's Hospital Tiršova 2".</w:t>
      </w:r>
    </w:p>
    <w:p w14:paraId="24DCB804" w14:textId="3366C43D" w:rsidR="00A93258" w:rsidRPr="00A93258"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 xml:space="preserve">The plot on which the subject building is planned to be built is on a slope. The terrain falls from Kosta Todorovića Street towards the highway, in a northeast-southwest direction. The height difference between the elevation of the traffic road in Dr. Kosta Todorovića and the access road from the southwest side of the building from which vehicular access to the </w:t>
      </w:r>
      <w:r w:rsidRPr="00CB7B9A">
        <w:rPr>
          <w:rFonts w:eastAsia="Calibri-Bold"/>
          <w:bCs/>
          <w:color w:val="000000"/>
          <w:szCs w:val="24"/>
        </w:rPr>
        <w:t xml:space="preserve">garage on level </w:t>
      </w:r>
      <w:r w:rsidR="00CB7B9A" w:rsidRPr="00CB7B9A">
        <w:rPr>
          <w:rFonts w:eastAsia="Calibri-Bold"/>
          <w:bCs/>
          <w:color w:val="000000"/>
          <w:szCs w:val="24"/>
        </w:rPr>
        <w:t>Bsmt</w:t>
      </w:r>
      <w:r w:rsidRPr="00CB7B9A">
        <w:rPr>
          <w:rFonts w:eastAsia="Calibri-Bold"/>
          <w:bCs/>
          <w:color w:val="000000"/>
          <w:szCs w:val="24"/>
        </w:rPr>
        <w:t>-1 is planned is about 13m, and the access road within plot 1660/3 continues to fall</w:t>
      </w:r>
      <w:r w:rsidRPr="00A93258">
        <w:rPr>
          <w:rFonts w:eastAsia="Calibri-Bold"/>
          <w:bCs/>
          <w:color w:val="000000"/>
          <w:szCs w:val="24"/>
        </w:rPr>
        <w:t xml:space="preserve"> until it is connected to the roundabout stream, where it is lower by 15 m compared to the elevation in the zone of vehicular access to the garages.</w:t>
      </w:r>
    </w:p>
    <w:p w14:paraId="428C3BC8" w14:textId="77777777" w:rsidR="00A93258" w:rsidRPr="00A93258"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Preparatory work on the development of the construction site was carried out on the plot, which includes: the organization of the construction site, construction of the construction road, and work on the construction of support structures and securing the foundation pit.</w:t>
      </w:r>
    </w:p>
    <w:p w14:paraId="32392A07" w14:textId="7C635B18" w:rsidR="00640A9A" w:rsidRDefault="00CB7B9A" w:rsidP="00A93258">
      <w:pPr>
        <w:widowControl w:val="0"/>
        <w:autoSpaceDE w:val="0"/>
        <w:autoSpaceDN w:val="0"/>
        <w:adjustRightInd w:val="0"/>
        <w:ind w:firstLine="709"/>
        <w:jc w:val="both"/>
        <w:rPr>
          <w:rFonts w:eastAsia="Calibri-Bold"/>
          <w:bCs/>
          <w:color w:val="000000"/>
          <w:szCs w:val="24"/>
        </w:rPr>
      </w:pPr>
      <w:r w:rsidRPr="00CB7B9A">
        <w:rPr>
          <w:rFonts w:eastAsia="Calibri-Bold"/>
          <w:bCs/>
          <w:color w:val="000000"/>
          <w:szCs w:val="24"/>
        </w:rPr>
        <w:t xml:space="preserve">With this procurement of works, the construction of the entire hospital complex is planned, while equipping the hospital with medical equipment and functional equipment (furniture), </w:t>
      </w:r>
      <w:proofErr w:type="gramStart"/>
      <w:r w:rsidRPr="00CB7B9A">
        <w:rPr>
          <w:rFonts w:eastAsia="Calibri-Bold"/>
          <w:bCs/>
          <w:color w:val="000000"/>
          <w:szCs w:val="24"/>
        </w:rPr>
        <w:t>in order to</w:t>
      </w:r>
      <w:proofErr w:type="gramEnd"/>
      <w:r w:rsidRPr="00CB7B9A">
        <w:rPr>
          <w:rFonts w:eastAsia="Calibri-Bold"/>
          <w:bCs/>
          <w:color w:val="000000"/>
          <w:szCs w:val="24"/>
        </w:rPr>
        <w:t xml:space="preserve"> put the facility into operation, will be carried out later.</w:t>
      </w:r>
    </w:p>
    <w:p w14:paraId="6CEE4E0C" w14:textId="77777777" w:rsidR="00640A9A" w:rsidRPr="00640A9A" w:rsidRDefault="00640A9A" w:rsidP="00640A9A">
      <w:pPr>
        <w:widowControl w:val="0"/>
        <w:autoSpaceDE w:val="0"/>
        <w:autoSpaceDN w:val="0"/>
        <w:adjustRightInd w:val="0"/>
        <w:ind w:firstLine="709"/>
        <w:jc w:val="both"/>
        <w:rPr>
          <w:rFonts w:eastAsia="Calibri-Bold"/>
          <w:bCs/>
          <w:color w:val="000000"/>
          <w:szCs w:val="24"/>
        </w:rPr>
      </w:pPr>
      <w:r w:rsidRPr="00640A9A">
        <w:rPr>
          <w:rFonts w:eastAsia="Calibri-Bold"/>
          <w:bCs/>
          <w:color w:val="000000"/>
          <w:szCs w:val="24"/>
          <w:lang w:val="en"/>
        </w:rPr>
        <w:t>The total area of the land plot is 33,670 m2.</w:t>
      </w:r>
    </w:p>
    <w:p w14:paraId="0D35063E" w14:textId="77777777" w:rsidR="00640A9A" w:rsidRPr="00640A9A" w:rsidRDefault="00640A9A" w:rsidP="00640A9A">
      <w:pPr>
        <w:widowControl w:val="0"/>
        <w:autoSpaceDE w:val="0"/>
        <w:autoSpaceDN w:val="0"/>
        <w:adjustRightInd w:val="0"/>
        <w:ind w:firstLine="709"/>
        <w:jc w:val="both"/>
        <w:rPr>
          <w:rFonts w:eastAsia="Calibri-Bold"/>
          <w:bCs/>
          <w:color w:val="000000"/>
          <w:szCs w:val="24"/>
        </w:rPr>
      </w:pPr>
      <w:r w:rsidRPr="00640A9A">
        <w:rPr>
          <w:rFonts w:eastAsia="Calibri-Bold"/>
          <w:bCs/>
          <w:color w:val="000000"/>
          <w:szCs w:val="24"/>
          <w:lang w:val="en"/>
        </w:rPr>
        <w:t>The building is basically rectangular in shape. In addition to the main building, there is also a substation for medical gases on the plot. The gross area of the building of the new UCH is 61,923.98 m2, and the projection area of the UCH is 7,061.96 m2.</w:t>
      </w:r>
    </w:p>
    <w:p w14:paraId="463D30F2" w14:textId="77777777" w:rsidR="00640A9A" w:rsidRPr="00640A9A" w:rsidRDefault="00640A9A" w:rsidP="00640A9A">
      <w:pPr>
        <w:widowControl w:val="0"/>
        <w:autoSpaceDE w:val="0"/>
        <w:autoSpaceDN w:val="0"/>
        <w:adjustRightInd w:val="0"/>
        <w:ind w:firstLine="709"/>
        <w:jc w:val="both"/>
        <w:rPr>
          <w:rFonts w:eastAsia="Calibri-Bold"/>
          <w:bCs/>
          <w:color w:val="000000"/>
          <w:szCs w:val="24"/>
        </w:rPr>
      </w:pPr>
      <w:r w:rsidRPr="00640A9A">
        <w:rPr>
          <w:rFonts w:eastAsia="Calibri-Bold"/>
          <w:bCs/>
          <w:color w:val="000000"/>
          <w:szCs w:val="24"/>
          <w:lang w:val="en"/>
        </w:rPr>
        <w:t>The projection/gross area of the medical gases station building is 95.45 m2.</w:t>
      </w:r>
    </w:p>
    <w:p w14:paraId="41FCDFD9" w14:textId="77777777" w:rsidR="00A93258" w:rsidRPr="00A93258"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The number of floors of the building is 3Bsmt+2Sbsmt+GF+5.</w:t>
      </w:r>
    </w:p>
    <w:p w14:paraId="1D245430" w14:textId="77777777" w:rsidR="00A93258" w:rsidRPr="00A93258"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The number of patient beds is 167-230 and 71 beds within the day hospital.</w:t>
      </w:r>
    </w:p>
    <w:p w14:paraId="4552C49A" w14:textId="0BB86017" w:rsidR="00A93258" w:rsidRPr="00A93258" w:rsidRDefault="00A93258" w:rsidP="00A93258">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The number of parking spaces is 528 (of which 68 are for people with reduced mobility).</w:t>
      </w:r>
    </w:p>
    <w:p w14:paraId="130AAE5C" w14:textId="117848E0" w:rsidR="00A93258" w:rsidRDefault="00A93258" w:rsidP="00F84856">
      <w:pPr>
        <w:widowControl w:val="0"/>
        <w:autoSpaceDE w:val="0"/>
        <w:autoSpaceDN w:val="0"/>
        <w:adjustRightInd w:val="0"/>
        <w:ind w:firstLine="709"/>
        <w:jc w:val="both"/>
        <w:rPr>
          <w:rFonts w:eastAsia="Calibri-Bold"/>
          <w:bCs/>
          <w:color w:val="000000"/>
          <w:szCs w:val="24"/>
        </w:rPr>
      </w:pPr>
      <w:r w:rsidRPr="00A93258">
        <w:rPr>
          <w:rFonts w:eastAsia="Calibri-Bold"/>
          <w:bCs/>
          <w:color w:val="000000"/>
          <w:szCs w:val="24"/>
        </w:rPr>
        <w:t>The functional program defined through the Feasibility Study identified seven basic units within the facility:</w:t>
      </w:r>
    </w:p>
    <w:p w14:paraId="6182B301"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1. Examination and treatment</w:t>
      </w:r>
    </w:p>
    <w:p w14:paraId="6E1A2B04" w14:textId="3DF4AC5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 xml:space="preserve">2. </w:t>
      </w:r>
      <w:r w:rsidR="0030158B">
        <w:rPr>
          <w:rFonts w:eastAsia="Calibri-Bold"/>
          <w:bCs/>
          <w:color w:val="000000"/>
          <w:szCs w:val="24"/>
        </w:rPr>
        <w:t>Nursing</w:t>
      </w:r>
      <w:r w:rsidRPr="00F84856">
        <w:rPr>
          <w:rFonts w:eastAsia="Calibri-Bold"/>
          <w:bCs/>
          <w:color w:val="000000"/>
          <w:szCs w:val="24"/>
        </w:rPr>
        <w:t xml:space="preserve"> care</w:t>
      </w:r>
    </w:p>
    <w:p w14:paraId="7CF129BE"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3. Supply and disposal</w:t>
      </w:r>
    </w:p>
    <w:p w14:paraId="4ADB5070"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4. Administration</w:t>
      </w:r>
    </w:p>
    <w:p w14:paraId="5AA9C09D"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lastRenderedPageBreak/>
        <w:t>5. Scientific research and academic part</w:t>
      </w:r>
    </w:p>
    <w:p w14:paraId="3D4F1E67"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6. Technical premises</w:t>
      </w:r>
    </w:p>
    <w:p w14:paraId="1447165C" w14:textId="6B89E865" w:rsid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7. Social services</w:t>
      </w:r>
      <w:r w:rsidR="008D4E78">
        <w:rPr>
          <w:rFonts w:eastAsia="Calibri-Bold"/>
          <w:bCs/>
          <w:color w:val="000000"/>
          <w:szCs w:val="24"/>
        </w:rPr>
        <w:t>.</w:t>
      </w:r>
    </w:p>
    <w:p w14:paraId="24A552B2" w14:textId="77777777" w:rsidR="008D4E78" w:rsidRPr="00F84856" w:rsidRDefault="008D4E78" w:rsidP="00F84856">
      <w:pPr>
        <w:widowControl w:val="0"/>
        <w:autoSpaceDE w:val="0"/>
        <w:autoSpaceDN w:val="0"/>
        <w:adjustRightInd w:val="0"/>
        <w:ind w:firstLine="709"/>
        <w:jc w:val="both"/>
        <w:rPr>
          <w:rFonts w:eastAsia="Calibri-Bold"/>
          <w:bCs/>
          <w:color w:val="000000"/>
          <w:szCs w:val="24"/>
        </w:rPr>
      </w:pPr>
    </w:p>
    <w:p w14:paraId="0631894A"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Three basic units are located on the ground floor level (Central area, Outpatient-polyclinic part, and Emergency reception).</w:t>
      </w:r>
    </w:p>
    <w:p w14:paraId="356C8266" w14:textId="0510D9F1"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On the floor - Basement 1, there are the most intersections of daily and inpatient routes. The following units are located on this floor: Radiolog</w:t>
      </w:r>
      <w:r w:rsidR="00E15219">
        <w:rPr>
          <w:rFonts w:eastAsia="Calibri-Bold"/>
          <w:bCs/>
          <w:color w:val="000000"/>
          <w:szCs w:val="24"/>
        </w:rPr>
        <w:t>y</w:t>
      </w:r>
      <w:r w:rsidRPr="00F84856">
        <w:rPr>
          <w:rFonts w:eastAsia="Calibri-Bold"/>
          <w:bCs/>
          <w:color w:val="000000"/>
          <w:szCs w:val="24"/>
        </w:rPr>
        <w:t xml:space="preserve"> diagnostics, Endoscopy, Central laboratory with blood bank, Phys</w:t>
      </w:r>
      <w:r w:rsidR="00E15219">
        <w:rPr>
          <w:rFonts w:eastAsia="Calibri-Bold"/>
          <w:bCs/>
          <w:color w:val="000000"/>
          <w:szCs w:val="24"/>
        </w:rPr>
        <w:t>ical medicine</w:t>
      </w:r>
      <w:r w:rsidRPr="00F84856">
        <w:rPr>
          <w:rFonts w:eastAsia="Calibri-Bold"/>
          <w:bCs/>
          <w:color w:val="000000"/>
          <w:szCs w:val="24"/>
        </w:rPr>
        <w:t>, Day Surgery, and Department of genetics and immunology.</w:t>
      </w:r>
    </w:p>
    <w:p w14:paraId="1ED34478"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Inpatient facilities are provided on the 1st, 2nd, 3rd, and 4th floors.</w:t>
      </w:r>
    </w:p>
    <w:p w14:paraId="29F67906"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These floors are much smaller than the ground and basement floors. Unlike them, which are rectangular in shape, the stationary floors enclose a space in the shape of the Latin letter H. With this, a larger area of the facade and the possibility of creating a larger number of rooms with natural lighting have been achieved. Four wings are formed in the hospital, which can function as independent units.</w:t>
      </w:r>
    </w:p>
    <w:p w14:paraId="6F8DB551"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The inpatient general (basic) care with accompanying rooms is planned for two-thirds of the 1st floor (three wings – southwest, southeast, and northeast); half of the 2nd floor (two wings - southwest and southeast).</w:t>
      </w:r>
    </w:p>
    <w:p w14:paraId="2A71D1F9"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The hemodialysis department is located on the 1st floor next to the general care inpatients, in the north wing.</w:t>
      </w:r>
    </w:p>
    <w:p w14:paraId="6B910683"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Within the 2nd floor, directly above the hemodialysis department, is the chemotherapy department.</w:t>
      </w:r>
    </w:p>
    <w:p w14:paraId="35B3AD40"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 xml:space="preserve">The third floor is divided into four units - the transplant department in the northwest wing, the burn department in the northeast wing, the general care inpatient section between these two wings, and the neonatology department (which also belongs to the general care level) occupying the southwest and southeast wings (the entire third </w:t>
      </w:r>
      <w:proofErr w:type="gramStart"/>
      <w:r w:rsidRPr="00F84856">
        <w:rPr>
          <w:rFonts w:eastAsia="Calibri-Bold"/>
          <w:bCs/>
          <w:color w:val="000000"/>
          <w:szCs w:val="24"/>
        </w:rPr>
        <w:t>floor )</w:t>
      </w:r>
      <w:proofErr w:type="gramEnd"/>
      <w:r w:rsidRPr="00F84856">
        <w:rPr>
          <w:rFonts w:eastAsia="Calibri-Bold"/>
          <w:bCs/>
          <w:color w:val="000000"/>
          <w:szCs w:val="24"/>
        </w:rPr>
        <w:t>.</w:t>
      </w:r>
    </w:p>
    <w:p w14:paraId="490A4C30" w14:textId="77777777" w:rsidR="00F84856" w:rsidRPr="00F84856" w:rsidRDefault="00F84856" w:rsidP="00F84856">
      <w:pPr>
        <w:widowControl w:val="0"/>
        <w:autoSpaceDE w:val="0"/>
        <w:autoSpaceDN w:val="0"/>
        <w:adjustRightInd w:val="0"/>
        <w:ind w:firstLine="709"/>
        <w:jc w:val="both"/>
        <w:rPr>
          <w:rFonts w:eastAsia="Calibri-Bold"/>
          <w:bCs/>
          <w:color w:val="000000"/>
          <w:szCs w:val="24"/>
        </w:rPr>
      </w:pPr>
      <w:r w:rsidRPr="00F84856">
        <w:rPr>
          <w:rFonts w:eastAsia="Calibri-Bold"/>
          <w:bCs/>
          <w:color w:val="000000"/>
          <w:szCs w:val="24"/>
        </w:rPr>
        <w:t>On the 4th floor are the OR block and intensive care.</w:t>
      </w:r>
    </w:p>
    <w:p w14:paraId="767398E4" w14:textId="1FC5CAF8" w:rsidR="001808C3" w:rsidRDefault="00F84856" w:rsidP="00CB7B9A">
      <w:pPr>
        <w:widowControl w:val="0"/>
        <w:autoSpaceDE w:val="0"/>
        <w:autoSpaceDN w:val="0"/>
        <w:adjustRightInd w:val="0"/>
        <w:ind w:firstLine="709"/>
        <w:jc w:val="both"/>
        <w:rPr>
          <w:szCs w:val="24"/>
        </w:rPr>
      </w:pPr>
      <w:r w:rsidRPr="00F84856">
        <w:rPr>
          <w:rFonts w:eastAsia="Calibri-Bold"/>
          <w:bCs/>
          <w:color w:val="000000"/>
          <w:szCs w:val="24"/>
        </w:rPr>
        <w:t>On the 5th floor are administration and education.</w:t>
      </w:r>
      <w:r w:rsidR="001808C3" w:rsidRPr="001808C3">
        <w:rPr>
          <w:szCs w:val="24"/>
        </w:rPr>
        <w:t xml:space="preserve"> </w:t>
      </w:r>
    </w:p>
    <w:p w14:paraId="02084B30" w14:textId="133921AB" w:rsidR="004C3AB2" w:rsidRDefault="004C3AB2" w:rsidP="00CB7B9A">
      <w:pPr>
        <w:widowControl w:val="0"/>
        <w:autoSpaceDE w:val="0"/>
        <w:autoSpaceDN w:val="0"/>
        <w:adjustRightInd w:val="0"/>
        <w:ind w:firstLine="709"/>
        <w:jc w:val="both"/>
        <w:rPr>
          <w:szCs w:val="24"/>
        </w:rPr>
      </w:pPr>
    </w:p>
    <w:p w14:paraId="11CD5D91" w14:textId="0E8B2FE3" w:rsidR="004C3AB2" w:rsidRDefault="004C3AB2" w:rsidP="00CB7B9A">
      <w:pPr>
        <w:widowControl w:val="0"/>
        <w:autoSpaceDE w:val="0"/>
        <w:autoSpaceDN w:val="0"/>
        <w:adjustRightInd w:val="0"/>
        <w:ind w:firstLine="709"/>
        <w:jc w:val="both"/>
        <w:rPr>
          <w:szCs w:val="24"/>
        </w:rPr>
      </w:pPr>
    </w:p>
    <w:p w14:paraId="0CB8D163" w14:textId="2DF9747B" w:rsidR="004C3AB2" w:rsidRDefault="004C3AB2" w:rsidP="004C3AB2">
      <w:pPr>
        <w:pStyle w:val="nabrajanjebold"/>
        <w:widowControl w:val="0"/>
        <w:autoSpaceDE w:val="0"/>
        <w:autoSpaceDN w:val="0"/>
        <w:adjustRightInd w:val="0"/>
        <w:jc w:val="both"/>
      </w:pPr>
      <w:r>
        <w:t>BIM model</w:t>
      </w:r>
    </w:p>
    <w:p w14:paraId="55F64FAD" w14:textId="77777777" w:rsidR="004C3AB2" w:rsidRPr="004C3AB2" w:rsidRDefault="004C3AB2" w:rsidP="004C3AB2">
      <w:pPr>
        <w:pStyle w:val="nabrajanjebold"/>
        <w:widowControl w:val="0"/>
        <w:numPr>
          <w:ilvl w:val="0"/>
          <w:numId w:val="0"/>
        </w:numPr>
        <w:autoSpaceDE w:val="0"/>
        <w:autoSpaceDN w:val="0"/>
        <w:adjustRightInd w:val="0"/>
        <w:ind w:left="786"/>
        <w:jc w:val="both"/>
      </w:pPr>
    </w:p>
    <w:p w14:paraId="69956880" w14:textId="0AAA0E7E" w:rsidR="004C3AB2" w:rsidRPr="004C3AB2" w:rsidRDefault="00026027" w:rsidP="004C3AB2">
      <w:pPr>
        <w:pStyle w:val="nabrajanjebold"/>
        <w:widowControl w:val="0"/>
        <w:numPr>
          <w:ilvl w:val="0"/>
          <w:numId w:val="0"/>
        </w:numPr>
        <w:autoSpaceDE w:val="0"/>
        <w:autoSpaceDN w:val="0"/>
        <w:adjustRightInd w:val="0"/>
        <w:ind w:left="786"/>
        <w:jc w:val="both"/>
        <w:rPr>
          <w:b w:val="0"/>
          <w:color w:val="000000"/>
        </w:rPr>
      </w:pPr>
      <w:r>
        <w:rPr>
          <w:b w:val="0"/>
          <w:color w:val="000000"/>
        </w:rPr>
        <w:tab/>
      </w:r>
      <w:r w:rsidR="004C3AB2" w:rsidRPr="004C3AB2">
        <w:rPr>
          <w:b w:val="0"/>
          <w:color w:val="000000"/>
        </w:rPr>
        <w:t>During the design stage, preparation of the 3D Building Information Model (BIM) of the complete Design for Execution and including both functional areas FC1 and FC2</w:t>
      </w:r>
      <w:r w:rsidR="004C3AB2">
        <w:rPr>
          <w:b w:val="0"/>
          <w:color w:val="000000"/>
        </w:rPr>
        <w:t xml:space="preserve"> </w:t>
      </w:r>
      <w:r w:rsidR="004C3AB2" w:rsidRPr="004C3AB2">
        <w:rPr>
          <w:b w:val="0"/>
          <w:color w:val="000000"/>
        </w:rPr>
        <w:t>has been developed.</w:t>
      </w:r>
    </w:p>
    <w:p w14:paraId="23D6EA6B" w14:textId="38FABCDC" w:rsidR="004C3AB2" w:rsidRPr="004C3AB2" w:rsidRDefault="00026027" w:rsidP="004C3AB2">
      <w:pPr>
        <w:pStyle w:val="nabrajanjebold"/>
        <w:numPr>
          <w:ilvl w:val="0"/>
          <w:numId w:val="0"/>
        </w:numPr>
        <w:ind w:left="786"/>
        <w:jc w:val="both"/>
        <w:rPr>
          <w:b w:val="0"/>
          <w:color w:val="000000"/>
        </w:rPr>
      </w:pPr>
      <w:r>
        <w:rPr>
          <w:b w:val="0"/>
          <w:color w:val="000000"/>
        </w:rPr>
        <w:tab/>
      </w:r>
      <w:r w:rsidR="004C3AB2" w:rsidRPr="004C3AB2">
        <w:rPr>
          <w:b w:val="0"/>
          <w:color w:val="000000"/>
        </w:rPr>
        <w:t>The BIM model graphically represents the building elements as a generic system, object, or assembly providing accurate information in terms of relevant quantities.</w:t>
      </w:r>
    </w:p>
    <w:p w14:paraId="06EBBE47" w14:textId="062C0989" w:rsidR="004C3AB2" w:rsidRPr="004C3AB2" w:rsidRDefault="00026027" w:rsidP="004C3AB2">
      <w:pPr>
        <w:pStyle w:val="nabrajanjebold"/>
        <w:numPr>
          <w:ilvl w:val="0"/>
          <w:numId w:val="0"/>
        </w:numPr>
        <w:ind w:left="786"/>
        <w:jc w:val="both"/>
        <w:rPr>
          <w:b w:val="0"/>
          <w:color w:val="000000"/>
        </w:rPr>
      </w:pPr>
      <w:r>
        <w:rPr>
          <w:b w:val="0"/>
          <w:color w:val="000000"/>
        </w:rPr>
        <w:tab/>
      </w:r>
      <w:r w:rsidR="004C3AB2" w:rsidRPr="004C3AB2">
        <w:rPr>
          <w:b w:val="0"/>
          <w:color w:val="000000"/>
        </w:rPr>
        <w:t xml:space="preserve">The basis of the BIM environment is a 3D-digital model that combines data in graphic and non-graphic forms and enables easy access, simple management, and exchange of data between project stakeholders. </w:t>
      </w:r>
    </w:p>
    <w:p w14:paraId="1CEF4E23" w14:textId="6276766E" w:rsidR="004C3AB2" w:rsidRPr="004C3AB2" w:rsidRDefault="00026027" w:rsidP="004C3AB2">
      <w:pPr>
        <w:pStyle w:val="nabrajanjebold"/>
        <w:numPr>
          <w:ilvl w:val="0"/>
          <w:numId w:val="0"/>
        </w:numPr>
        <w:ind w:left="786"/>
        <w:jc w:val="both"/>
        <w:rPr>
          <w:b w:val="0"/>
          <w:color w:val="000000"/>
        </w:rPr>
      </w:pPr>
      <w:r>
        <w:rPr>
          <w:b w:val="0"/>
          <w:color w:val="000000"/>
        </w:rPr>
        <w:tab/>
      </w:r>
      <w:r w:rsidR="004C3AB2" w:rsidRPr="004C3AB2">
        <w:rPr>
          <w:b w:val="0"/>
          <w:color w:val="000000"/>
        </w:rPr>
        <w:t xml:space="preserve">BIM has been used for the design, development, and analysis of all disciplines including architectural landscape, construction, mechanical, electrical, plumbing and fire systems as in accordance with the BIM Implementation Plan (BEP). </w:t>
      </w:r>
    </w:p>
    <w:p w14:paraId="23954BDD" w14:textId="75AA337F" w:rsidR="004C3AB2" w:rsidRPr="004C3AB2" w:rsidRDefault="00026027" w:rsidP="004C3AB2">
      <w:pPr>
        <w:pStyle w:val="nabrajanjebold"/>
        <w:numPr>
          <w:ilvl w:val="0"/>
          <w:numId w:val="0"/>
        </w:numPr>
        <w:ind w:left="786"/>
        <w:jc w:val="both"/>
        <w:rPr>
          <w:b w:val="0"/>
          <w:color w:val="000000"/>
        </w:rPr>
      </w:pPr>
      <w:r>
        <w:rPr>
          <w:b w:val="0"/>
          <w:color w:val="000000"/>
        </w:rPr>
        <w:lastRenderedPageBreak/>
        <w:tab/>
      </w:r>
      <w:r w:rsidR="004C3AB2" w:rsidRPr="004C3AB2">
        <w:rPr>
          <w:b w:val="0"/>
          <w:color w:val="000000"/>
        </w:rPr>
        <w:t xml:space="preserve">BIM technology has been used for the development of the design documentation, review of the functionality and design of the object, control of the quality of the project documentation and the quality of the project itself, coordination of project disciplines, </w:t>
      </w:r>
    </w:p>
    <w:p w14:paraId="318C2B23" w14:textId="1D8691AA" w:rsidR="004C3AB2" w:rsidRPr="004C3AB2" w:rsidRDefault="00026027" w:rsidP="004C3AB2">
      <w:pPr>
        <w:pStyle w:val="nabrajanjebold"/>
        <w:numPr>
          <w:ilvl w:val="0"/>
          <w:numId w:val="0"/>
        </w:numPr>
        <w:ind w:left="786"/>
        <w:jc w:val="both"/>
        <w:rPr>
          <w:b w:val="0"/>
          <w:color w:val="000000"/>
        </w:rPr>
      </w:pPr>
      <w:r>
        <w:rPr>
          <w:b w:val="0"/>
          <w:color w:val="000000"/>
        </w:rPr>
        <w:tab/>
      </w:r>
      <w:r w:rsidR="004C3AB2" w:rsidRPr="004C3AB2">
        <w:rPr>
          <w:b w:val="0"/>
          <w:color w:val="000000"/>
        </w:rPr>
        <w:t>In the construction phase, it will be used for advanced detailed planning and monitoring of the construction time schedule, more efficient analysis, and estimation of quantities and budgets.</w:t>
      </w:r>
    </w:p>
    <w:p w14:paraId="695FACFD" w14:textId="4E8EEA6B" w:rsidR="004C3AB2" w:rsidRPr="004C3AB2" w:rsidRDefault="00026027" w:rsidP="004C3AB2">
      <w:pPr>
        <w:pStyle w:val="nabrajanjebold"/>
        <w:numPr>
          <w:ilvl w:val="0"/>
          <w:numId w:val="0"/>
        </w:numPr>
        <w:ind w:left="786"/>
        <w:jc w:val="both"/>
        <w:rPr>
          <w:b w:val="0"/>
          <w:color w:val="000000"/>
        </w:rPr>
      </w:pPr>
      <w:r>
        <w:rPr>
          <w:b w:val="0"/>
          <w:color w:val="000000"/>
        </w:rPr>
        <w:tab/>
      </w:r>
      <w:r w:rsidR="004C3AB2" w:rsidRPr="004C3AB2">
        <w:rPr>
          <w:b w:val="0"/>
          <w:color w:val="000000"/>
        </w:rPr>
        <w:t>BIM elements in the model contain parameters of the relevant Industry Foundation Classes (IFC) class and related required information and data in accordance with the open BIM approach for information exchange through export to IFC. This data enables the analytical process, including the verification of quantities, prices, materials, exact positioning of the object, and all other information about the project. The BIM model is developed so that the drawings for the IFC documentation package can be derived from it, as well as to support all BIM applications requested by the client.</w:t>
      </w:r>
    </w:p>
    <w:p w14:paraId="167C467F" w14:textId="5BC3E588" w:rsidR="004C3AB2" w:rsidRPr="004C3AB2" w:rsidRDefault="00026027" w:rsidP="004C3AB2">
      <w:pPr>
        <w:pStyle w:val="nabrajanjebold"/>
        <w:numPr>
          <w:ilvl w:val="0"/>
          <w:numId w:val="0"/>
        </w:numPr>
        <w:ind w:left="786"/>
        <w:jc w:val="both"/>
        <w:rPr>
          <w:b w:val="0"/>
          <w:color w:val="000000"/>
        </w:rPr>
      </w:pPr>
      <w:r>
        <w:rPr>
          <w:b w:val="0"/>
          <w:color w:val="000000"/>
        </w:rPr>
        <w:tab/>
      </w:r>
      <w:r w:rsidR="004C3AB2" w:rsidRPr="004C3AB2">
        <w:rPr>
          <w:b w:val="0"/>
          <w:color w:val="000000"/>
        </w:rPr>
        <w:t>The following list shows the BIM applications that have been developed so far:</w:t>
      </w:r>
    </w:p>
    <w:p w14:paraId="38A92EC9" w14:textId="78B31BE9" w:rsidR="004C3AB2" w:rsidRPr="004C3AB2" w:rsidRDefault="004C3AB2" w:rsidP="004C3AB2">
      <w:pPr>
        <w:pStyle w:val="nabrajanjebold"/>
        <w:numPr>
          <w:ilvl w:val="0"/>
          <w:numId w:val="0"/>
        </w:numPr>
        <w:ind w:left="786"/>
        <w:jc w:val="both"/>
        <w:rPr>
          <w:b w:val="0"/>
          <w:color w:val="000000"/>
        </w:rPr>
      </w:pPr>
      <w:r>
        <w:rPr>
          <w:b w:val="0"/>
          <w:color w:val="000000"/>
        </w:rPr>
        <w:t>-</w:t>
      </w:r>
      <w:r w:rsidRPr="004C3AB2">
        <w:rPr>
          <w:b w:val="0"/>
          <w:color w:val="000000"/>
        </w:rPr>
        <w:t xml:space="preserve">Designing using </w:t>
      </w:r>
      <w:proofErr w:type="gramStart"/>
      <w:r w:rsidRPr="004C3AB2">
        <w:rPr>
          <w:b w:val="0"/>
          <w:color w:val="000000"/>
        </w:rPr>
        <w:t>BIM;</w:t>
      </w:r>
      <w:proofErr w:type="gramEnd"/>
    </w:p>
    <w:p w14:paraId="4D7494C8" w14:textId="0A42C2C4" w:rsidR="004C3AB2" w:rsidRPr="004C3AB2" w:rsidRDefault="004C3AB2" w:rsidP="004C3AB2">
      <w:pPr>
        <w:pStyle w:val="nabrajanjebold"/>
        <w:numPr>
          <w:ilvl w:val="0"/>
          <w:numId w:val="0"/>
        </w:numPr>
        <w:ind w:left="786"/>
        <w:jc w:val="both"/>
        <w:rPr>
          <w:b w:val="0"/>
          <w:color w:val="000000"/>
        </w:rPr>
      </w:pPr>
      <w:r>
        <w:rPr>
          <w:b w:val="0"/>
          <w:color w:val="000000"/>
        </w:rPr>
        <w:t>-</w:t>
      </w:r>
      <w:r w:rsidRPr="004C3AB2">
        <w:rPr>
          <w:b w:val="0"/>
          <w:color w:val="000000"/>
        </w:rPr>
        <w:t xml:space="preserve">Creation and export of 2D project </w:t>
      </w:r>
      <w:proofErr w:type="gramStart"/>
      <w:r w:rsidRPr="004C3AB2">
        <w:rPr>
          <w:b w:val="0"/>
          <w:color w:val="000000"/>
        </w:rPr>
        <w:t>documentation;</w:t>
      </w:r>
      <w:proofErr w:type="gramEnd"/>
    </w:p>
    <w:p w14:paraId="0C7CAC9A" w14:textId="3E369C44" w:rsidR="004C3AB2" w:rsidRPr="004C3AB2" w:rsidRDefault="004C3AB2" w:rsidP="004C3AB2">
      <w:pPr>
        <w:pStyle w:val="nabrajanjebold"/>
        <w:numPr>
          <w:ilvl w:val="0"/>
          <w:numId w:val="0"/>
        </w:numPr>
        <w:ind w:left="786"/>
        <w:jc w:val="both"/>
        <w:rPr>
          <w:b w:val="0"/>
          <w:color w:val="000000"/>
        </w:rPr>
      </w:pPr>
      <w:r>
        <w:rPr>
          <w:b w:val="0"/>
          <w:color w:val="000000"/>
        </w:rPr>
        <w:t>-</w:t>
      </w:r>
      <w:r w:rsidRPr="004C3AB2">
        <w:rPr>
          <w:b w:val="0"/>
          <w:color w:val="000000"/>
        </w:rPr>
        <w:t xml:space="preserve">Visualization of the </w:t>
      </w:r>
      <w:proofErr w:type="gramStart"/>
      <w:r w:rsidRPr="004C3AB2">
        <w:rPr>
          <w:b w:val="0"/>
          <w:color w:val="000000"/>
        </w:rPr>
        <w:t>project;</w:t>
      </w:r>
      <w:proofErr w:type="gramEnd"/>
    </w:p>
    <w:p w14:paraId="25F651A9" w14:textId="5015A5FB" w:rsidR="004C3AB2" w:rsidRPr="004C3AB2" w:rsidRDefault="004C3AB2" w:rsidP="004C3AB2">
      <w:pPr>
        <w:pStyle w:val="nabrajanjebold"/>
        <w:numPr>
          <w:ilvl w:val="0"/>
          <w:numId w:val="0"/>
        </w:numPr>
        <w:ind w:left="786"/>
        <w:jc w:val="both"/>
        <w:rPr>
          <w:b w:val="0"/>
          <w:color w:val="000000"/>
        </w:rPr>
      </w:pPr>
      <w:r>
        <w:rPr>
          <w:b w:val="0"/>
          <w:color w:val="000000"/>
        </w:rPr>
        <w:t>-</w:t>
      </w:r>
      <w:r w:rsidRPr="004C3AB2">
        <w:rPr>
          <w:b w:val="0"/>
          <w:color w:val="000000"/>
        </w:rPr>
        <w:t>Quantity take-off (including systematic coding for assets/items; outside the design for execution</w:t>
      </w:r>
      <w:proofErr w:type="gramStart"/>
      <w:r w:rsidRPr="004C3AB2">
        <w:rPr>
          <w:b w:val="0"/>
          <w:color w:val="000000"/>
        </w:rPr>
        <w:t>);</w:t>
      </w:r>
      <w:proofErr w:type="gramEnd"/>
    </w:p>
    <w:p w14:paraId="75A77F55" w14:textId="698D80BF" w:rsidR="004C3AB2" w:rsidRPr="004C3AB2" w:rsidRDefault="004C3AB2" w:rsidP="004C3AB2">
      <w:pPr>
        <w:pStyle w:val="nabrajanjebold"/>
        <w:numPr>
          <w:ilvl w:val="0"/>
          <w:numId w:val="0"/>
        </w:numPr>
        <w:ind w:left="786"/>
        <w:jc w:val="both"/>
        <w:rPr>
          <w:b w:val="0"/>
          <w:color w:val="000000"/>
        </w:rPr>
      </w:pPr>
      <w:r>
        <w:rPr>
          <w:b w:val="0"/>
          <w:color w:val="000000"/>
        </w:rPr>
        <w:t>-</w:t>
      </w:r>
      <w:r w:rsidRPr="004C3AB2">
        <w:rPr>
          <w:b w:val="0"/>
          <w:color w:val="000000"/>
        </w:rPr>
        <w:t xml:space="preserve">Defining data for 4D applications of BIM </w:t>
      </w:r>
      <w:proofErr w:type="gramStart"/>
      <w:r w:rsidRPr="004C3AB2">
        <w:rPr>
          <w:b w:val="0"/>
          <w:color w:val="000000"/>
        </w:rPr>
        <w:t>models;</w:t>
      </w:r>
      <w:proofErr w:type="gramEnd"/>
    </w:p>
    <w:p w14:paraId="6B3663B1" w14:textId="7491152C" w:rsidR="004C3AB2" w:rsidRDefault="004C3AB2" w:rsidP="004C3AB2">
      <w:pPr>
        <w:pStyle w:val="nabrajanjebold"/>
        <w:numPr>
          <w:ilvl w:val="0"/>
          <w:numId w:val="0"/>
        </w:numPr>
        <w:ind w:left="786"/>
        <w:jc w:val="both"/>
        <w:rPr>
          <w:b w:val="0"/>
          <w:color w:val="000000"/>
        </w:rPr>
      </w:pPr>
      <w:r>
        <w:rPr>
          <w:b w:val="0"/>
          <w:color w:val="000000"/>
        </w:rPr>
        <w:t>-</w:t>
      </w:r>
      <w:r w:rsidRPr="004C3AB2">
        <w:rPr>
          <w:b w:val="0"/>
          <w:color w:val="000000"/>
        </w:rPr>
        <w:t>Defining data for 5D BIM model applications.</w:t>
      </w:r>
    </w:p>
    <w:p w14:paraId="1BB592DB" w14:textId="77777777" w:rsidR="005013A8" w:rsidRPr="004C3AB2" w:rsidRDefault="005013A8" w:rsidP="004C3AB2">
      <w:pPr>
        <w:pStyle w:val="nabrajanjebold"/>
        <w:numPr>
          <w:ilvl w:val="0"/>
          <w:numId w:val="0"/>
        </w:numPr>
        <w:ind w:left="786"/>
        <w:jc w:val="both"/>
        <w:rPr>
          <w:b w:val="0"/>
          <w:color w:val="000000"/>
        </w:rPr>
      </w:pPr>
    </w:p>
    <w:p w14:paraId="44667EE1" w14:textId="69E55F29" w:rsidR="005013A8" w:rsidRPr="005013A8" w:rsidRDefault="005013A8" w:rsidP="005013A8">
      <w:pPr>
        <w:pStyle w:val="Default"/>
        <w:jc w:val="both"/>
        <w:rPr>
          <w:rFonts w:ascii="Times New Roman" w:hAnsi="Times New Roman"/>
          <w:bCs/>
          <w:lang w:val="en-GB"/>
        </w:rPr>
      </w:pPr>
      <w:r w:rsidRPr="00DB673D">
        <w:rPr>
          <w:rFonts w:ascii="Times New Roman" w:hAnsi="Times New Roman"/>
          <w:b/>
          <w:bCs/>
          <w:lang w:val="en-GB"/>
        </w:rPr>
        <w:t>Note</w:t>
      </w:r>
      <w:r w:rsidRPr="005013A8">
        <w:rPr>
          <w:rFonts w:ascii="Times New Roman" w:hAnsi="Times New Roman"/>
          <w:b/>
          <w:bCs/>
          <w:lang w:val="en-GB"/>
        </w:rPr>
        <w:t>:</w:t>
      </w:r>
      <w:r w:rsidRPr="005013A8">
        <w:rPr>
          <w:rFonts w:ascii="Times New Roman" w:hAnsi="Times New Roman"/>
          <w:bCs/>
          <w:lang w:val="en-GB"/>
        </w:rPr>
        <w:t xml:space="preserve"> Do</w:t>
      </w:r>
      <w:r w:rsidRPr="00DB673D">
        <w:rPr>
          <w:rFonts w:ascii="Times New Roman" w:hAnsi="Times New Roman"/>
          <w:bCs/>
          <w:lang w:val="en-GB"/>
        </w:rPr>
        <w:t>cumen</w:t>
      </w:r>
      <w:r w:rsidRPr="005013A8">
        <w:rPr>
          <w:rFonts w:ascii="Times New Roman" w:hAnsi="Times New Roman"/>
          <w:bCs/>
          <w:lang w:val="en-GB"/>
        </w:rPr>
        <w:t xml:space="preserve">t: </w:t>
      </w:r>
      <w:r w:rsidR="00DB673D" w:rsidRPr="00DB673D">
        <w:rPr>
          <w:rFonts w:ascii="Times New Roman" w:hAnsi="Times New Roman"/>
          <w:bCs/>
          <w:lang w:val="en-GB"/>
        </w:rPr>
        <w:t>Employer’s BIM Requirements for Contractor-University Children’s Hospital Tirsova 2</w:t>
      </w:r>
      <w:r w:rsidRPr="005013A8">
        <w:rPr>
          <w:rFonts w:ascii="Times New Roman" w:hAnsi="Times New Roman"/>
          <w:bCs/>
          <w:lang w:val="en-GB"/>
        </w:rPr>
        <w:t xml:space="preserve">, </w:t>
      </w:r>
      <w:r w:rsidR="00DB673D" w:rsidRPr="00DB673D">
        <w:rPr>
          <w:rFonts w:ascii="Times New Roman" w:hAnsi="Times New Roman"/>
          <w:bCs/>
          <w:lang w:val="en-GB"/>
        </w:rPr>
        <w:t xml:space="preserve">is integral to </w:t>
      </w:r>
      <w:r w:rsidR="003D5AE8">
        <w:rPr>
          <w:rFonts w:ascii="Times New Roman" w:hAnsi="Times New Roman"/>
          <w:bCs/>
          <w:lang w:val="en-GB"/>
        </w:rPr>
        <w:t>M</w:t>
      </w:r>
      <w:r w:rsidR="00DB673D" w:rsidRPr="00DB673D">
        <w:rPr>
          <w:rFonts w:ascii="Times New Roman" w:hAnsi="Times New Roman"/>
          <w:bCs/>
          <w:lang w:val="en-GB"/>
        </w:rPr>
        <w:t>odel</w:t>
      </w:r>
      <w:r w:rsidR="003D5AE8">
        <w:rPr>
          <w:rFonts w:ascii="Times New Roman" w:hAnsi="Times New Roman"/>
          <w:bCs/>
          <w:lang w:val="en-GB"/>
        </w:rPr>
        <w:t xml:space="preserve"> Contract</w:t>
      </w:r>
      <w:r w:rsidR="00DB673D" w:rsidRPr="00DB673D">
        <w:rPr>
          <w:rFonts w:ascii="Times New Roman" w:hAnsi="Times New Roman"/>
          <w:bCs/>
          <w:lang w:val="en-GB"/>
        </w:rPr>
        <w:t>.</w:t>
      </w:r>
    </w:p>
    <w:p w14:paraId="58D3E517" w14:textId="6AFB2856" w:rsidR="001808C3" w:rsidRPr="00272322" w:rsidRDefault="001808C3" w:rsidP="001808C3">
      <w:pPr>
        <w:pStyle w:val="Default"/>
        <w:jc w:val="both"/>
        <w:rPr>
          <w:bCs/>
        </w:rPr>
      </w:pPr>
    </w:p>
    <w:p w14:paraId="4969C7FF" w14:textId="7A2A5BFF" w:rsidR="00A87C38" w:rsidRDefault="00A87C38" w:rsidP="00A52AB3">
      <w:pPr>
        <w:jc w:val="both"/>
        <w:rPr>
          <w:bCs/>
          <w:szCs w:val="24"/>
          <w:highlight w:val="green"/>
        </w:rPr>
      </w:pPr>
    </w:p>
    <w:p w14:paraId="503AB268" w14:textId="7D54BD37" w:rsidR="00A87C38" w:rsidRPr="00502E39" w:rsidRDefault="00481469" w:rsidP="00481469">
      <w:pPr>
        <w:pStyle w:val="nabrajanjebold"/>
        <w:widowControl w:val="0"/>
        <w:autoSpaceDE w:val="0"/>
        <w:autoSpaceDN w:val="0"/>
        <w:adjustRightInd w:val="0"/>
        <w:jc w:val="both"/>
      </w:pPr>
      <w:r w:rsidRPr="00481469">
        <w:rPr>
          <w:bCs/>
          <w:lang w:val="en-GB"/>
        </w:rPr>
        <w:t>Form on Manufacturers of Materials and Equipment</w:t>
      </w:r>
    </w:p>
    <w:p w14:paraId="36EBE22A" w14:textId="77777777" w:rsidR="00502E39" w:rsidRPr="00481469" w:rsidRDefault="00502E39" w:rsidP="00502E39">
      <w:pPr>
        <w:pStyle w:val="nabrajanjebold"/>
        <w:widowControl w:val="0"/>
        <w:numPr>
          <w:ilvl w:val="0"/>
          <w:numId w:val="0"/>
        </w:numPr>
        <w:autoSpaceDE w:val="0"/>
        <w:autoSpaceDN w:val="0"/>
        <w:adjustRightInd w:val="0"/>
        <w:ind w:left="786"/>
        <w:jc w:val="both"/>
      </w:pPr>
    </w:p>
    <w:p w14:paraId="60227869" w14:textId="793DED70" w:rsidR="00A9674D" w:rsidRPr="00A9674D" w:rsidRDefault="00A9674D" w:rsidP="00A9674D">
      <w:pPr>
        <w:jc w:val="both"/>
        <w:rPr>
          <w:bCs/>
          <w:szCs w:val="24"/>
        </w:rPr>
      </w:pPr>
      <w:bookmarkStart w:id="0" w:name="_Hlk121659377"/>
      <w:r>
        <w:rPr>
          <w:bCs/>
          <w:szCs w:val="24"/>
        </w:rPr>
        <w:tab/>
      </w:r>
      <w:r w:rsidRPr="00A9674D">
        <w:rPr>
          <w:bCs/>
          <w:szCs w:val="24"/>
        </w:rPr>
        <w:t>When submitting a tender through the Portal, the tenderer is obliged to submit a completed Form on Manufacturers of Materials and Equipment.</w:t>
      </w:r>
    </w:p>
    <w:p w14:paraId="25724E21" w14:textId="32F91951" w:rsidR="00A9674D" w:rsidRPr="00A9674D" w:rsidRDefault="00A9674D" w:rsidP="00A9674D">
      <w:pPr>
        <w:jc w:val="both"/>
        <w:rPr>
          <w:bCs/>
          <w:szCs w:val="24"/>
        </w:rPr>
      </w:pPr>
      <w:r>
        <w:rPr>
          <w:bCs/>
          <w:szCs w:val="24"/>
        </w:rPr>
        <w:tab/>
      </w:r>
      <w:r w:rsidRPr="00A9674D">
        <w:rPr>
          <w:bCs/>
          <w:szCs w:val="24"/>
        </w:rPr>
        <w:t>In column 4. (Manufacturers), enter the name of the manufacturer of the material/equipment for which the price is given in the Offered Price Structure Form.</w:t>
      </w:r>
    </w:p>
    <w:p w14:paraId="2D2C16BD" w14:textId="7F95C8E8" w:rsidR="00A9674D" w:rsidRPr="00A9674D" w:rsidRDefault="009D3E40" w:rsidP="00A9674D">
      <w:pPr>
        <w:jc w:val="both"/>
        <w:rPr>
          <w:bCs/>
          <w:szCs w:val="24"/>
        </w:rPr>
      </w:pPr>
      <w:r>
        <w:rPr>
          <w:bCs/>
          <w:szCs w:val="24"/>
        </w:rPr>
        <w:tab/>
      </w:r>
      <w:r w:rsidR="00A9674D" w:rsidRPr="00A9674D">
        <w:rPr>
          <w:bCs/>
          <w:szCs w:val="24"/>
        </w:rPr>
        <w:t>In column 5 (Model), enter the name of the model/type of material/equipment for which the price is given in the Offered Price Structure Form.</w:t>
      </w:r>
    </w:p>
    <w:p w14:paraId="0623DA3B" w14:textId="0D50B7FD" w:rsidR="00FB538F" w:rsidRDefault="00871DB9" w:rsidP="00A9674D">
      <w:pPr>
        <w:jc w:val="both"/>
        <w:rPr>
          <w:bCs/>
          <w:szCs w:val="24"/>
        </w:rPr>
      </w:pPr>
      <w:r>
        <w:rPr>
          <w:bCs/>
          <w:szCs w:val="24"/>
        </w:rPr>
        <w:tab/>
      </w:r>
    </w:p>
    <w:p w14:paraId="1B2957E2" w14:textId="6067E2EA" w:rsidR="00FB538F" w:rsidRPr="00A9674D" w:rsidRDefault="00FB538F" w:rsidP="00A9674D">
      <w:pPr>
        <w:jc w:val="both"/>
        <w:rPr>
          <w:bCs/>
          <w:szCs w:val="24"/>
        </w:rPr>
      </w:pPr>
      <w:r>
        <w:rPr>
          <w:bCs/>
          <w:szCs w:val="24"/>
        </w:rPr>
        <w:tab/>
      </w:r>
      <w:r w:rsidRPr="00FB538F">
        <w:rPr>
          <w:bCs/>
          <w:szCs w:val="24"/>
        </w:rPr>
        <w:t xml:space="preserve">The Contracting Authority reserves the right to, before </w:t>
      </w:r>
      <w:proofErr w:type="gramStart"/>
      <w:r w:rsidRPr="00FB538F">
        <w:rPr>
          <w:bCs/>
          <w:szCs w:val="24"/>
        </w:rPr>
        <w:t>making a decision</w:t>
      </w:r>
      <w:proofErr w:type="gramEnd"/>
      <w:r w:rsidRPr="00FB538F">
        <w:rPr>
          <w:bCs/>
          <w:szCs w:val="24"/>
        </w:rPr>
        <w:t xml:space="preserve"> in the public procurement </w:t>
      </w:r>
      <w:r w:rsidRPr="00FB538F">
        <w:rPr>
          <w:bCs/>
          <w:szCs w:val="24"/>
        </w:rPr>
        <w:tab/>
        <w:t xml:space="preserve">procedure, in the expert evaluation of the tender, request, from the tenderer who submitted the most </w:t>
      </w:r>
      <w:r w:rsidRPr="00FB538F">
        <w:rPr>
          <w:bCs/>
          <w:szCs w:val="24"/>
        </w:rPr>
        <w:tab/>
        <w:t xml:space="preserve">economically advantageous bid to submit evidence within a reasonable time in order to determine the fulfillment of the required technical specifications of the offered equipment, i.e.  Technical Data Sheets </w:t>
      </w:r>
      <w:r w:rsidRPr="00FB538F">
        <w:rPr>
          <w:bCs/>
          <w:szCs w:val="24"/>
        </w:rPr>
        <w:tab/>
        <w:t xml:space="preserve">and/or Certificates of all goods, products or materials listed in the Form on Manufacturers of Materials </w:t>
      </w:r>
      <w:r w:rsidRPr="00FB538F">
        <w:rPr>
          <w:bCs/>
          <w:szCs w:val="24"/>
        </w:rPr>
        <w:tab/>
        <w:t xml:space="preserve">and Equipment, as well as other documentation required in the Form on Manufacturers of Materials and Equipment. The link to this form must be written on the Technical Data Sheet/Certificates, </w:t>
      </w:r>
      <w:proofErr w:type="gramStart"/>
      <w:r w:rsidRPr="00FB538F">
        <w:rPr>
          <w:bCs/>
          <w:szCs w:val="24"/>
        </w:rPr>
        <w:t>i.e.</w:t>
      </w:r>
      <w:proofErr w:type="gramEnd"/>
      <w:r w:rsidRPr="00FB538F">
        <w:rPr>
          <w:bCs/>
          <w:szCs w:val="24"/>
        </w:rPr>
        <w:t xml:space="preserve"> the serial </w:t>
      </w:r>
      <w:r w:rsidRPr="00FB538F">
        <w:rPr>
          <w:bCs/>
          <w:szCs w:val="24"/>
        </w:rPr>
        <w:tab/>
        <w:t xml:space="preserve">number from the first column. The content of the Technical Data Sheet/Certificates must undoubtedly confirm the given technical characteristics. Only those required technical characteristics that are not listed </w:t>
      </w:r>
      <w:r w:rsidRPr="00FB538F">
        <w:rPr>
          <w:bCs/>
          <w:szCs w:val="24"/>
        </w:rPr>
        <w:lastRenderedPageBreak/>
        <w:t>in the Technical Data Sheet/Certificates can be proven by the original statement of the manufacturer.</w:t>
      </w:r>
    </w:p>
    <w:p w14:paraId="02EB6883" w14:textId="77777777" w:rsidR="00A9674D" w:rsidRPr="00A9674D" w:rsidRDefault="00A9674D" w:rsidP="00A9674D">
      <w:pPr>
        <w:jc w:val="both"/>
        <w:rPr>
          <w:bCs/>
          <w:szCs w:val="24"/>
        </w:rPr>
      </w:pPr>
      <w:r w:rsidRPr="00A9674D">
        <w:rPr>
          <w:bCs/>
          <w:szCs w:val="24"/>
        </w:rPr>
        <w:tab/>
        <w:t>The Form on Manufacturers of Materials and Equipment shall form a mandatory part of the bid and is an integral part of the contract on the execution of works.</w:t>
      </w:r>
    </w:p>
    <w:p w14:paraId="1C1526BC" w14:textId="112DE169" w:rsidR="00A9674D" w:rsidRPr="00A9674D" w:rsidRDefault="00A9674D" w:rsidP="00A9674D">
      <w:pPr>
        <w:jc w:val="both"/>
        <w:rPr>
          <w:bCs/>
          <w:szCs w:val="24"/>
        </w:rPr>
      </w:pPr>
      <w:r w:rsidRPr="00A9674D">
        <w:rPr>
          <w:bCs/>
          <w:szCs w:val="24"/>
        </w:rPr>
        <w:tab/>
        <w:t>In case it is found that the technical specification of the offered good does not meet the requirements of the Contracting Authority defined by the Main Design which is an integral part of the tender documentation, and other requirements of the Contracting Authority specified in the Tender Documentation, the Bidder's bid shall be rejected as inappropriate in accordance with Article 144, Paragraph 1. Item 3 of the Public Procurement Law ("Official Gazette of RS", no. 91/19).</w:t>
      </w:r>
      <w:r w:rsidRPr="00A9674D">
        <w:rPr>
          <w:bCs/>
          <w:szCs w:val="24"/>
        </w:rPr>
        <w:tab/>
        <w:t xml:space="preserve">In the event of inability to obtain and install materials and equipment according to the offered models and manufacturers listed in the Form on Manufacturers of Materials and Equipment, the </w:t>
      </w:r>
      <w:r w:rsidR="0009195D">
        <w:rPr>
          <w:bCs/>
          <w:szCs w:val="24"/>
        </w:rPr>
        <w:t>tenderer</w:t>
      </w:r>
      <w:r w:rsidRPr="00A9674D">
        <w:rPr>
          <w:bCs/>
          <w:szCs w:val="24"/>
        </w:rPr>
        <w:t xml:space="preserve"> shall be required to obtain a document from the manufacturer, which explains the inability to deliver (cessation of production, and the like), as well as a proposal for substitution of equivalent equipment submitted for approval to the Professional Supervision Officer and the Contracting Authority. </w:t>
      </w:r>
    </w:p>
    <w:p w14:paraId="727BB62A" w14:textId="18E5122A" w:rsidR="00A9674D" w:rsidRPr="00A9674D" w:rsidRDefault="00A9674D" w:rsidP="00A9674D">
      <w:pPr>
        <w:jc w:val="both"/>
        <w:rPr>
          <w:bCs/>
          <w:szCs w:val="24"/>
        </w:rPr>
      </w:pPr>
      <w:r w:rsidRPr="00A9674D">
        <w:rPr>
          <w:bCs/>
          <w:szCs w:val="24"/>
        </w:rPr>
        <w:tab/>
        <w:t xml:space="preserve">The material and equipment to be replaced, in relation to the models and manufacturers, offered, in the chapter Form about material and equipment manufacturers, with the consent of the Professional Supervision and the Contracting Authority, must be equivalent and appropriate to the technical characteristics of the previously offered good and delivered and installed at the </w:t>
      </w:r>
      <w:r w:rsidR="001616F0">
        <w:rPr>
          <w:bCs/>
          <w:szCs w:val="24"/>
        </w:rPr>
        <w:t>contracted</w:t>
      </w:r>
      <w:r w:rsidRPr="00A9674D">
        <w:rPr>
          <w:bCs/>
          <w:szCs w:val="24"/>
        </w:rPr>
        <w:t xml:space="preserve"> price.</w:t>
      </w:r>
    </w:p>
    <w:p w14:paraId="0F085F20" w14:textId="59FE7047" w:rsidR="00A9674D" w:rsidRPr="00A9674D" w:rsidRDefault="00871DB9" w:rsidP="00A9674D">
      <w:pPr>
        <w:jc w:val="both"/>
        <w:rPr>
          <w:bCs/>
          <w:szCs w:val="24"/>
        </w:rPr>
      </w:pPr>
      <w:r>
        <w:rPr>
          <w:bCs/>
          <w:szCs w:val="24"/>
        </w:rPr>
        <w:tab/>
      </w:r>
      <w:r w:rsidR="00A9674D" w:rsidRPr="00A9674D">
        <w:rPr>
          <w:bCs/>
          <w:szCs w:val="24"/>
        </w:rPr>
        <w:t xml:space="preserve">When the technical requirements indicate the name of a manufacturer in connection with any product or material, it serves the purpose of providing examples from the viewpoint of the required standards for the product or material. A manufacturer listed in this way in the technical requirements shall not be considered a nominated manufacturer. The bidder may propose and obtain a product or material from another manufacturer, </w:t>
      </w:r>
      <w:proofErr w:type="gramStart"/>
      <w:r w:rsidR="00A9674D" w:rsidRPr="00A9674D">
        <w:rPr>
          <w:bCs/>
          <w:szCs w:val="24"/>
        </w:rPr>
        <w:t>provided that</w:t>
      </w:r>
      <w:proofErr w:type="gramEnd"/>
      <w:r w:rsidR="00A9674D" w:rsidRPr="00A9674D">
        <w:rPr>
          <w:bCs/>
          <w:szCs w:val="24"/>
        </w:rPr>
        <w:t xml:space="preserve"> it can prove that it is an equivalent product and material. </w:t>
      </w:r>
    </w:p>
    <w:p w14:paraId="4F35F776" w14:textId="05DE7777" w:rsidR="00A9674D" w:rsidRPr="00A9674D" w:rsidRDefault="00A9674D" w:rsidP="00A9674D">
      <w:pPr>
        <w:jc w:val="both"/>
        <w:rPr>
          <w:bCs/>
          <w:szCs w:val="24"/>
        </w:rPr>
      </w:pPr>
      <w:r w:rsidRPr="00A9674D">
        <w:rPr>
          <w:bCs/>
          <w:szCs w:val="24"/>
        </w:rPr>
        <w:tab/>
        <w:t xml:space="preserve">The contracting authority shall inform the </w:t>
      </w:r>
      <w:r w:rsidR="00050627">
        <w:rPr>
          <w:bCs/>
          <w:szCs w:val="24"/>
        </w:rPr>
        <w:t>tenderer</w:t>
      </w:r>
      <w:r w:rsidRPr="00A9674D">
        <w:rPr>
          <w:bCs/>
          <w:szCs w:val="24"/>
        </w:rPr>
        <w:t xml:space="preserve"> that any indication of elements such as a trademark, patent, </w:t>
      </w:r>
      <w:proofErr w:type="gramStart"/>
      <w:r w:rsidRPr="00A9674D">
        <w:rPr>
          <w:bCs/>
          <w:szCs w:val="24"/>
        </w:rPr>
        <w:t>type</w:t>
      </w:r>
      <w:proofErr w:type="gramEnd"/>
      <w:r w:rsidRPr="00A9674D">
        <w:rPr>
          <w:bCs/>
          <w:szCs w:val="24"/>
        </w:rPr>
        <w:t xml:space="preserve"> or manufacturer is accompanied by the words “or equivalent” in the tender documentation. </w:t>
      </w:r>
    </w:p>
    <w:p w14:paraId="0A3F7992" w14:textId="4C23E33A" w:rsidR="00A52AB3" w:rsidRDefault="00871DB9" w:rsidP="00A9674D">
      <w:pPr>
        <w:jc w:val="both"/>
        <w:rPr>
          <w:bCs/>
          <w:szCs w:val="24"/>
        </w:rPr>
      </w:pPr>
      <w:r>
        <w:rPr>
          <w:bCs/>
          <w:szCs w:val="24"/>
        </w:rPr>
        <w:tab/>
      </w:r>
      <w:r w:rsidR="00A9674D" w:rsidRPr="009F275C">
        <w:rPr>
          <w:bCs/>
          <w:szCs w:val="24"/>
        </w:rPr>
        <w:t>The term "or equivalent", for certain items, listed in the Form on Manufacturers of Materials and Equipment, the bidder shall prove by specifying the manufacturer and the offered model, and at the request of the Contracting Authority, by submitting Technical Data Sheets</w:t>
      </w:r>
      <w:r w:rsidR="007B2220" w:rsidRPr="009F275C">
        <w:rPr>
          <w:bCs/>
          <w:szCs w:val="24"/>
        </w:rPr>
        <w:t xml:space="preserve"> and/or Certificates</w:t>
      </w:r>
      <w:r w:rsidR="00A9674D" w:rsidRPr="009F275C">
        <w:rPr>
          <w:bCs/>
          <w:szCs w:val="24"/>
        </w:rPr>
        <w:t xml:space="preserve"> for all goods, products or materials which are listed in the Form on Manufacturers of Materials and Equipment.</w:t>
      </w:r>
    </w:p>
    <w:p w14:paraId="26FCFBB5" w14:textId="77777777" w:rsidR="009D3E40" w:rsidRPr="00214688" w:rsidRDefault="009D3E40" w:rsidP="00A9674D">
      <w:pPr>
        <w:jc w:val="both"/>
        <w:rPr>
          <w:color w:val="000000"/>
          <w:szCs w:val="24"/>
        </w:rPr>
      </w:pPr>
    </w:p>
    <w:bookmarkEnd w:id="0"/>
    <w:p w14:paraId="402779B5" w14:textId="1A6CBE51" w:rsidR="00A52AB3" w:rsidRDefault="00A52AB3" w:rsidP="00A52AB3">
      <w:pPr>
        <w:pStyle w:val="nabrajanjebold"/>
        <w:numPr>
          <w:ilvl w:val="0"/>
          <w:numId w:val="2"/>
        </w:numPr>
      </w:pPr>
      <w:r w:rsidRPr="00214688">
        <w:t>Deadline for performance of works</w:t>
      </w:r>
    </w:p>
    <w:p w14:paraId="58CDED3C" w14:textId="77777777" w:rsidR="005F3460" w:rsidRPr="00214688" w:rsidRDefault="005F3460" w:rsidP="005F3460">
      <w:pPr>
        <w:pStyle w:val="nabrajanjebold"/>
        <w:numPr>
          <w:ilvl w:val="0"/>
          <w:numId w:val="0"/>
        </w:numPr>
        <w:ind w:left="786"/>
      </w:pPr>
    </w:p>
    <w:p w14:paraId="525DCECC" w14:textId="239A3475" w:rsidR="008A6442" w:rsidRPr="008A6442" w:rsidRDefault="00A52AB3" w:rsidP="008A6442">
      <w:pPr>
        <w:widowControl w:val="0"/>
        <w:autoSpaceDE w:val="0"/>
        <w:autoSpaceDN w:val="0"/>
        <w:adjustRightInd w:val="0"/>
        <w:ind w:firstLine="709"/>
        <w:jc w:val="both"/>
        <w:rPr>
          <w:szCs w:val="24"/>
        </w:rPr>
      </w:pPr>
      <w:r w:rsidRPr="00214688">
        <w:rPr>
          <w:szCs w:val="24"/>
        </w:rPr>
        <w:t>The deadline for performance of construction works that are the subject of public procurement may not</w:t>
      </w:r>
      <w:r>
        <w:rPr>
          <w:szCs w:val="24"/>
        </w:rPr>
        <w:t xml:space="preserve"> </w:t>
      </w:r>
      <w:r w:rsidRPr="00214688">
        <w:rPr>
          <w:szCs w:val="24"/>
        </w:rPr>
        <w:t xml:space="preserve">exceed </w:t>
      </w:r>
      <w:r w:rsidR="00A10CF0">
        <w:rPr>
          <w:szCs w:val="24"/>
          <w:lang w:val="sr-Latn-CS"/>
        </w:rPr>
        <w:t>11</w:t>
      </w:r>
      <w:r w:rsidR="009354EE">
        <w:rPr>
          <w:szCs w:val="24"/>
          <w:lang w:val="sr-Cyrl-CS"/>
        </w:rPr>
        <w:t>00</w:t>
      </w:r>
      <w:r w:rsidRPr="00214688">
        <w:rPr>
          <w:szCs w:val="24"/>
        </w:rPr>
        <w:t xml:space="preserve"> calendar days from the possession of the site by the bidder - contractor. </w:t>
      </w:r>
    </w:p>
    <w:p w14:paraId="2ED8B296" w14:textId="77777777" w:rsidR="00A52AB3" w:rsidRPr="00214688" w:rsidRDefault="00A52AB3" w:rsidP="00A52AB3">
      <w:pPr>
        <w:widowControl w:val="0"/>
        <w:autoSpaceDE w:val="0"/>
        <w:autoSpaceDN w:val="0"/>
        <w:adjustRightInd w:val="0"/>
        <w:ind w:firstLine="709"/>
        <w:jc w:val="both"/>
        <w:rPr>
          <w:szCs w:val="24"/>
          <w:lang w:eastAsia="sr-Cyrl-CS"/>
        </w:rPr>
      </w:pPr>
      <w:r w:rsidRPr="00214688">
        <w:rPr>
          <w:szCs w:val="24"/>
        </w:rPr>
        <w:t>The works on the facility shall be performed without the execution stages</w:t>
      </w:r>
      <w:r w:rsidRPr="00214688">
        <w:rPr>
          <w:szCs w:val="24"/>
          <w:lang w:eastAsia="sr-Cyrl-CS"/>
        </w:rPr>
        <w:t>.</w:t>
      </w:r>
    </w:p>
    <w:p w14:paraId="4A47F065" w14:textId="77777777" w:rsidR="00A52AB3" w:rsidRPr="00214688" w:rsidRDefault="00A52AB3" w:rsidP="00A52AB3">
      <w:pPr>
        <w:jc w:val="both"/>
        <w:rPr>
          <w:lang w:eastAsia="sr-Cyrl-CS"/>
        </w:rPr>
      </w:pPr>
    </w:p>
    <w:p w14:paraId="44DE2C9B" w14:textId="6F12FF65" w:rsidR="00A52AB3" w:rsidRDefault="00A52AB3" w:rsidP="00A52AB3">
      <w:pPr>
        <w:pStyle w:val="nabrajanjebold"/>
        <w:numPr>
          <w:ilvl w:val="0"/>
          <w:numId w:val="2"/>
        </w:numPr>
      </w:pPr>
      <w:r w:rsidRPr="00214688">
        <w:t>Place of performance of works</w:t>
      </w:r>
    </w:p>
    <w:p w14:paraId="46DCB569" w14:textId="77777777" w:rsidR="005F3460" w:rsidRPr="00214688" w:rsidRDefault="005F3460" w:rsidP="005F3460">
      <w:pPr>
        <w:pStyle w:val="nabrajanjebold"/>
        <w:numPr>
          <w:ilvl w:val="0"/>
          <w:numId w:val="0"/>
        </w:numPr>
        <w:ind w:left="786"/>
      </w:pPr>
    </w:p>
    <w:p w14:paraId="40E09BFA" w14:textId="686790D3" w:rsidR="00272322" w:rsidRPr="00013D50" w:rsidRDefault="00272322" w:rsidP="00272322">
      <w:r>
        <w:t>University Children's Hospital Tiršova 2</w:t>
      </w:r>
      <w:r w:rsidRPr="00013D50">
        <w:t xml:space="preserve">, </w:t>
      </w:r>
    </w:p>
    <w:p w14:paraId="03CCA4AF" w14:textId="04B6C6C4" w:rsidR="00272322" w:rsidRPr="00013D50" w:rsidRDefault="00272322" w:rsidP="00272322">
      <w:r>
        <w:t xml:space="preserve">Deligradska Street </w:t>
      </w:r>
      <w:r w:rsidRPr="00013D50">
        <w:t xml:space="preserve">40, 11000 </w:t>
      </w:r>
      <w:r>
        <w:t>Belgrade</w:t>
      </w:r>
      <w:r w:rsidRPr="00013D50">
        <w:t xml:space="preserve">, </w:t>
      </w:r>
    </w:p>
    <w:p w14:paraId="2BE2643E" w14:textId="595C2BD3" w:rsidR="00272322" w:rsidRDefault="00270DBE" w:rsidP="00272322">
      <w:r w:rsidRPr="00270DBE">
        <w:lastRenderedPageBreak/>
        <w:t>Cadastral plots 1660/3 and 1660/4, Cadastral Municipality of Savski Venac</w:t>
      </w:r>
      <w:r w:rsidR="001F0A97">
        <w:t>,</w:t>
      </w:r>
    </w:p>
    <w:p w14:paraId="400A11CC" w14:textId="4C72359F" w:rsidR="001F0A97" w:rsidRDefault="001F0A97" w:rsidP="00272322">
      <w:r>
        <w:t>Republic of Serbia</w:t>
      </w:r>
    </w:p>
    <w:p w14:paraId="75D69E73" w14:textId="77777777" w:rsidR="00270DBE" w:rsidRDefault="00270DBE" w:rsidP="00272322"/>
    <w:p w14:paraId="59423919" w14:textId="1C285064" w:rsidR="00A52AB3" w:rsidRPr="005F3460" w:rsidRDefault="00A52AB3" w:rsidP="00A52AB3">
      <w:pPr>
        <w:pStyle w:val="nabrajanjebold"/>
        <w:numPr>
          <w:ilvl w:val="0"/>
          <w:numId w:val="2"/>
        </w:numPr>
        <w:rPr>
          <w:rFonts w:cs="Calibri-Bold"/>
          <w:sz w:val="21"/>
          <w:szCs w:val="21"/>
        </w:rPr>
      </w:pPr>
      <w:r w:rsidRPr="009354EE">
        <w:t xml:space="preserve">Visit to the site for the execution of </w:t>
      </w:r>
      <w:proofErr w:type="gramStart"/>
      <w:r w:rsidRPr="009354EE">
        <w:t>works</w:t>
      </w:r>
      <w:proofErr w:type="gramEnd"/>
      <w:r w:rsidRPr="009354EE">
        <w:t xml:space="preserve"> </w:t>
      </w:r>
    </w:p>
    <w:p w14:paraId="51A0DE99" w14:textId="77777777" w:rsidR="005F3460" w:rsidRPr="009354EE" w:rsidRDefault="005F3460" w:rsidP="005F3460">
      <w:pPr>
        <w:pStyle w:val="nabrajanjebold"/>
        <w:numPr>
          <w:ilvl w:val="0"/>
          <w:numId w:val="0"/>
        </w:numPr>
        <w:ind w:left="786"/>
        <w:rPr>
          <w:rFonts w:cs="Calibri-Bold"/>
          <w:sz w:val="21"/>
          <w:szCs w:val="21"/>
        </w:rPr>
      </w:pPr>
    </w:p>
    <w:p w14:paraId="0C7122EA" w14:textId="2A311933" w:rsidR="00F9555C" w:rsidRPr="00F9555C" w:rsidRDefault="00F9555C" w:rsidP="00F9555C">
      <w:pPr>
        <w:jc w:val="both"/>
        <w:rPr>
          <w:szCs w:val="24"/>
        </w:rPr>
      </w:pPr>
      <w:r>
        <w:rPr>
          <w:szCs w:val="24"/>
        </w:rPr>
        <w:tab/>
      </w:r>
      <w:proofErr w:type="gramStart"/>
      <w:r w:rsidRPr="00F9555C">
        <w:rPr>
          <w:szCs w:val="24"/>
        </w:rPr>
        <w:t>In order to</w:t>
      </w:r>
      <w:proofErr w:type="gramEnd"/>
      <w:r w:rsidRPr="00F9555C">
        <w:rPr>
          <w:szCs w:val="24"/>
        </w:rPr>
        <w:t xml:space="preserve"> ensure the conditions for the preparation of eligible bids, the Contracting Authority shall enable the visit to the site for the execution of works for the respective public procurement, but only after a prior request, submitted before the intended site visit</w:t>
      </w:r>
      <w:r w:rsidR="007B04A9">
        <w:rPr>
          <w:szCs w:val="24"/>
        </w:rPr>
        <w:t xml:space="preserve"> </w:t>
      </w:r>
      <w:r w:rsidRPr="00F9555C">
        <w:rPr>
          <w:szCs w:val="24"/>
        </w:rPr>
        <w:t xml:space="preserve">and containing the information about persons authorized to visit the site. </w:t>
      </w:r>
    </w:p>
    <w:p w14:paraId="6B5525AD" w14:textId="42D67B83" w:rsidR="00F9555C" w:rsidRPr="00F9555C" w:rsidRDefault="00F9555C" w:rsidP="00F9555C">
      <w:pPr>
        <w:jc w:val="both"/>
        <w:rPr>
          <w:szCs w:val="24"/>
        </w:rPr>
      </w:pPr>
      <w:r>
        <w:rPr>
          <w:szCs w:val="24"/>
        </w:rPr>
        <w:tab/>
      </w:r>
      <w:r w:rsidRPr="00F9555C">
        <w:rPr>
          <w:szCs w:val="24"/>
        </w:rPr>
        <w:t xml:space="preserve">Interested entities shall deliver the requests </w:t>
      </w:r>
      <w:r w:rsidR="00F81A23">
        <w:rPr>
          <w:szCs w:val="24"/>
        </w:rPr>
        <w:t xml:space="preserve">by the </w:t>
      </w:r>
      <w:r w:rsidR="00F81A23" w:rsidRPr="00F81A23">
        <w:rPr>
          <w:szCs w:val="24"/>
        </w:rPr>
        <w:t>Public Procurement Portal</w:t>
      </w:r>
      <w:r w:rsidR="00F81A23">
        <w:rPr>
          <w:szCs w:val="24"/>
        </w:rPr>
        <w:t xml:space="preserve"> (</w:t>
      </w:r>
      <w:r w:rsidR="00F81A23" w:rsidRPr="00F81A23">
        <w:rPr>
          <w:szCs w:val="24"/>
        </w:rPr>
        <w:t>the Request for a site visit</w:t>
      </w:r>
      <w:r w:rsidR="00F81A23">
        <w:rPr>
          <w:szCs w:val="24"/>
        </w:rPr>
        <w:t>)</w:t>
      </w:r>
      <w:r w:rsidRPr="00F9555C">
        <w:rPr>
          <w:szCs w:val="24"/>
        </w:rPr>
        <w:t xml:space="preserve">, which must be received by the Contracting Authority eight days before the expiry of the deadline for submission of bids at the latest. </w:t>
      </w:r>
    </w:p>
    <w:p w14:paraId="3C93404E" w14:textId="1DAB2F46" w:rsidR="00F9555C" w:rsidRPr="00F9555C" w:rsidRDefault="00F9555C" w:rsidP="00F9555C">
      <w:pPr>
        <w:jc w:val="both"/>
        <w:rPr>
          <w:szCs w:val="24"/>
        </w:rPr>
      </w:pPr>
      <w:r>
        <w:rPr>
          <w:szCs w:val="24"/>
        </w:rPr>
        <w:tab/>
      </w:r>
      <w:r w:rsidRPr="00F9555C">
        <w:rPr>
          <w:szCs w:val="24"/>
        </w:rPr>
        <w:t xml:space="preserve">Contact person: Dragana Nenadić, </w:t>
      </w:r>
      <w:bookmarkStart w:id="1" w:name="Text23"/>
      <w:bookmarkEnd w:id="1"/>
      <w:r w:rsidRPr="00F9555C">
        <w:rPr>
          <w:szCs w:val="24"/>
        </w:rPr>
        <w:t>telephone number 064/1506152.</w:t>
      </w:r>
    </w:p>
    <w:p w14:paraId="7816BDE2" w14:textId="6091539B" w:rsidR="00F9555C" w:rsidRPr="00F9555C" w:rsidRDefault="00F9555C" w:rsidP="00F9555C">
      <w:pPr>
        <w:jc w:val="both"/>
        <w:rPr>
          <w:szCs w:val="24"/>
        </w:rPr>
      </w:pPr>
      <w:r>
        <w:rPr>
          <w:szCs w:val="24"/>
        </w:rPr>
        <w:tab/>
      </w:r>
      <w:r w:rsidRPr="00F9555C">
        <w:rPr>
          <w:szCs w:val="24"/>
        </w:rPr>
        <w:t>The Contracting Authority will promptly</w:t>
      </w:r>
      <w:r w:rsidR="00F81A23">
        <w:rPr>
          <w:szCs w:val="24"/>
        </w:rPr>
        <w:t>,</w:t>
      </w:r>
      <w:r w:rsidRPr="00F9555C">
        <w:rPr>
          <w:szCs w:val="24"/>
        </w:rPr>
        <w:t xml:space="preserve"> </w:t>
      </w:r>
      <w:r w:rsidR="00F81A23">
        <w:rPr>
          <w:szCs w:val="24"/>
        </w:rPr>
        <w:t>by</w:t>
      </w:r>
      <w:r w:rsidR="00F81A23" w:rsidRPr="00F81A23">
        <w:rPr>
          <w:szCs w:val="24"/>
        </w:rPr>
        <w:t xml:space="preserve"> the Public Procurement Portal</w:t>
      </w:r>
      <w:r w:rsidR="00F81A23">
        <w:rPr>
          <w:szCs w:val="24"/>
        </w:rPr>
        <w:t>,</w:t>
      </w:r>
      <w:r w:rsidR="00F81A23" w:rsidRPr="00F81A23">
        <w:rPr>
          <w:szCs w:val="24"/>
        </w:rPr>
        <w:t xml:space="preserve"> </w:t>
      </w:r>
      <w:r w:rsidRPr="00F9555C">
        <w:rPr>
          <w:szCs w:val="24"/>
        </w:rPr>
        <w:t>inform the applicant about the date of the site visit.</w:t>
      </w:r>
    </w:p>
    <w:p w14:paraId="1B7F873B" w14:textId="2260FDC0" w:rsidR="00F9555C" w:rsidRPr="00F9555C" w:rsidRDefault="00F9555C" w:rsidP="00F9555C">
      <w:pPr>
        <w:jc w:val="both"/>
        <w:rPr>
          <w:bCs/>
          <w:iCs/>
          <w:szCs w:val="24"/>
          <w:lang w:val="sr-Cyrl-CS"/>
        </w:rPr>
      </w:pPr>
      <w:r>
        <w:rPr>
          <w:bCs/>
          <w:iCs/>
          <w:szCs w:val="24"/>
          <w:lang w:val="sr-Cyrl-CS"/>
        </w:rPr>
        <w:tab/>
      </w:r>
      <w:r w:rsidRPr="00F9555C">
        <w:rPr>
          <w:bCs/>
          <w:iCs/>
          <w:szCs w:val="24"/>
          <w:lang w:val="sr-Cyrl-CS"/>
        </w:rPr>
        <w:t xml:space="preserve">The Contracting Authority </w:t>
      </w:r>
      <w:r w:rsidRPr="00F9555C">
        <w:rPr>
          <w:bCs/>
          <w:iCs/>
          <w:szCs w:val="24"/>
          <w:lang w:val="sr-Latn-CS"/>
        </w:rPr>
        <w:t>shall prepare</w:t>
      </w:r>
      <w:r w:rsidRPr="00F9555C">
        <w:rPr>
          <w:bCs/>
          <w:iCs/>
          <w:szCs w:val="24"/>
          <w:lang w:val="sr-Cyrl-CS"/>
        </w:rPr>
        <w:t xml:space="preserve"> statements about the site visit that should be signed by the</w:t>
      </w:r>
      <w:r w:rsidRPr="00F9555C">
        <w:rPr>
          <w:bCs/>
          <w:iCs/>
          <w:szCs w:val="24"/>
          <w:lang w:val="en-GB"/>
        </w:rPr>
        <w:t xml:space="preserve"> </w:t>
      </w:r>
      <w:r w:rsidRPr="00F9555C">
        <w:rPr>
          <w:bCs/>
          <w:iCs/>
          <w:szCs w:val="24"/>
          <w:lang w:val="sr-Latn-CS"/>
        </w:rPr>
        <w:t>authorized</w:t>
      </w:r>
      <w:r w:rsidRPr="00F9555C">
        <w:rPr>
          <w:bCs/>
          <w:iCs/>
          <w:szCs w:val="24"/>
          <w:lang w:val="sr-Cyrl-CS"/>
        </w:rPr>
        <w:t xml:space="preserve"> representatives of the interested entities during the site visit.</w:t>
      </w:r>
    </w:p>
    <w:p w14:paraId="0673AD4A" w14:textId="77777777" w:rsidR="00F9555C" w:rsidRPr="00F9555C" w:rsidRDefault="00F9555C" w:rsidP="00F9555C">
      <w:pPr>
        <w:jc w:val="both"/>
        <w:rPr>
          <w:bCs/>
          <w:iCs/>
          <w:szCs w:val="24"/>
          <w:lang w:val="sr-Cyrl-CS"/>
        </w:rPr>
      </w:pPr>
    </w:p>
    <w:p w14:paraId="2E533DD7" w14:textId="77777777" w:rsidR="006505EB" w:rsidRDefault="006505EB" w:rsidP="006505EB">
      <w:pPr>
        <w:jc w:val="both"/>
        <w:rPr>
          <w:rFonts w:eastAsia="Calibri-Bold"/>
          <w:bCs/>
          <w:szCs w:val="24"/>
          <w:lang w:val="sr-Latn-CS"/>
        </w:rPr>
      </w:pPr>
    </w:p>
    <w:p w14:paraId="74BE9F8E" w14:textId="16BB4DB7" w:rsidR="00B32E1A" w:rsidRPr="00B44859" w:rsidRDefault="00B32E1A" w:rsidP="00E659F7">
      <w:pPr>
        <w:jc w:val="both"/>
        <w:rPr>
          <w:bCs/>
          <w:strike/>
        </w:rPr>
      </w:pPr>
    </w:p>
    <w:sectPr w:rsidR="00B32E1A" w:rsidRPr="00B44859" w:rsidSect="002070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3D55" w14:textId="77777777" w:rsidR="00474585" w:rsidRDefault="00474585" w:rsidP="00747036">
      <w:r>
        <w:separator/>
      </w:r>
    </w:p>
  </w:endnote>
  <w:endnote w:type="continuationSeparator" w:id="0">
    <w:p w14:paraId="41325BBF" w14:textId="77777777" w:rsidR="00474585" w:rsidRDefault="00474585" w:rsidP="0074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55973"/>
      <w:docPartObj>
        <w:docPartGallery w:val="Page Numbers (Bottom of Page)"/>
        <w:docPartUnique/>
      </w:docPartObj>
    </w:sdtPr>
    <w:sdtEndPr>
      <w:rPr>
        <w:noProof/>
      </w:rPr>
    </w:sdtEndPr>
    <w:sdtContent>
      <w:p w14:paraId="04BA456F" w14:textId="28F8E8DD" w:rsidR="00747036" w:rsidRDefault="007470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89995" w14:textId="77777777" w:rsidR="00747036" w:rsidRDefault="00747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B8C6" w14:textId="77777777" w:rsidR="00474585" w:rsidRDefault="00474585" w:rsidP="00747036">
      <w:r>
        <w:separator/>
      </w:r>
    </w:p>
  </w:footnote>
  <w:footnote w:type="continuationSeparator" w:id="0">
    <w:p w14:paraId="5B5A32EB" w14:textId="77777777" w:rsidR="00474585" w:rsidRDefault="00474585" w:rsidP="00747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A145C"/>
    <w:multiLevelType w:val="hybridMultilevel"/>
    <w:tmpl w:val="B2B8EDA0"/>
    <w:lvl w:ilvl="0" w:tplc="17DCBF60">
      <w:start w:val="1"/>
      <w:numFmt w:val="decimal"/>
      <w:pStyle w:val="nabrajanjebold"/>
      <w:lvlText w:val="%1."/>
      <w:lvlJc w:val="left"/>
      <w:pPr>
        <w:ind w:left="786" w:hanging="360"/>
      </w:pPr>
      <w:rPr>
        <w:rFonts w:hint="default"/>
      </w:rPr>
    </w:lvl>
    <w:lvl w:ilvl="1" w:tplc="281A0019" w:tentative="1">
      <w:start w:val="1"/>
      <w:numFmt w:val="lowerLetter"/>
      <w:lvlText w:val="%2."/>
      <w:lvlJc w:val="left"/>
      <w:pPr>
        <w:ind w:left="1156" w:hanging="360"/>
      </w:pPr>
    </w:lvl>
    <w:lvl w:ilvl="2" w:tplc="281A001B" w:tentative="1">
      <w:start w:val="1"/>
      <w:numFmt w:val="lowerRoman"/>
      <w:lvlText w:val="%3."/>
      <w:lvlJc w:val="right"/>
      <w:pPr>
        <w:ind w:left="1876" w:hanging="180"/>
      </w:pPr>
    </w:lvl>
    <w:lvl w:ilvl="3" w:tplc="281A000F" w:tentative="1">
      <w:start w:val="1"/>
      <w:numFmt w:val="decimal"/>
      <w:lvlText w:val="%4."/>
      <w:lvlJc w:val="left"/>
      <w:pPr>
        <w:ind w:left="2596" w:hanging="360"/>
      </w:pPr>
    </w:lvl>
    <w:lvl w:ilvl="4" w:tplc="281A0019" w:tentative="1">
      <w:start w:val="1"/>
      <w:numFmt w:val="lowerLetter"/>
      <w:lvlText w:val="%5."/>
      <w:lvlJc w:val="left"/>
      <w:pPr>
        <w:ind w:left="3316" w:hanging="360"/>
      </w:pPr>
    </w:lvl>
    <w:lvl w:ilvl="5" w:tplc="281A001B" w:tentative="1">
      <w:start w:val="1"/>
      <w:numFmt w:val="lowerRoman"/>
      <w:lvlText w:val="%6."/>
      <w:lvlJc w:val="right"/>
      <w:pPr>
        <w:ind w:left="4036" w:hanging="180"/>
      </w:pPr>
    </w:lvl>
    <w:lvl w:ilvl="6" w:tplc="281A000F" w:tentative="1">
      <w:start w:val="1"/>
      <w:numFmt w:val="decimal"/>
      <w:lvlText w:val="%7."/>
      <w:lvlJc w:val="left"/>
      <w:pPr>
        <w:ind w:left="4756" w:hanging="360"/>
      </w:pPr>
    </w:lvl>
    <w:lvl w:ilvl="7" w:tplc="281A0019" w:tentative="1">
      <w:start w:val="1"/>
      <w:numFmt w:val="lowerLetter"/>
      <w:lvlText w:val="%8."/>
      <w:lvlJc w:val="left"/>
      <w:pPr>
        <w:ind w:left="5476" w:hanging="360"/>
      </w:pPr>
    </w:lvl>
    <w:lvl w:ilvl="8" w:tplc="281A001B" w:tentative="1">
      <w:start w:val="1"/>
      <w:numFmt w:val="lowerRoman"/>
      <w:lvlText w:val="%9."/>
      <w:lvlJc w:val="right"/>
      <w:pPr>
        <w:ind w:left="6196" w:hanging="180"/>
      </w:pPr>
    </w:lvl>
  </w:abstractNum>
  <w:abstractNum w:abstractNumId="1" w15:restartNumberingAfterBreak="0">
    <w:nsid w:val="30DB09A7"/>
    <w:multiLevelType w:val="hybridMultilevel"/>
    <w:tmpl w:val="57C2286E"/>
    <w:lvl w:ilvl="0" w:tplc="1B8401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1173FC"/>
    <w:multiLevelType w:val="hybridMultilevel"/>
    <w:tmpl w:val="4C32ACF4"/>
    <w:lvl w:ilvl="0" w:tplc="D98670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6649497">
    <w:abstractNumId w:val="0"/>
    <w:lvlOverride w:ilvl="0">
      <w:startOverride w:val="1"/>
    </w:lvlOverride>
  </w:num>
  <w:num w:numId="2" w16cid:durableId="1352756344">
    <w:abstractNumId w:val="0"/>
  </w:num>
  <w:num w:numId="3" w16cid:durableId="1510558186">
    <w:abstractNumId w:val="1"/>
  </w:num>
  <w:num w:numId="4" w16cid:durableId="1566574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B3"/>
    <w:rsid w:val="00002246"/>
    <w:rsid w:val="00004712"/>
    <w:rsid w:val="00024167"/>
    <w:rsid w:val="00026027"/>
    <w:rsid w:val="00046233"/>
    <w:rsid w:val="00050627"/>
    <w:rsid w:val="0009195D"/>
    <w:rsid w:val="000B7371"/>
    <w:rsid w:val="001616F0"/>
    <w:rsid w:val="00166618"/>
    <w:rsid w:val="001808C3"/>
    <w:rsid w:val="001913AF"/>
    <w:rsid w:val="001C2F73"/>
    <w:rsid w:val="001D41FF"/>
    <w:rsid w:val="001F0A97"/>
    <w:rsid w:val="00203446"/>
    <w:rsid w:val="0020706C"/>
    <w:rsid w:val="00213823"/>
    <w:rsid w:val="0021588B"/>
    <w:rsid w:val="00224AF0"/>
    <w:rsid w:val="00267D92"/>
    <w:rsid w:val="00270DBE"/>
    <w:rsid w:val="00272322"/>
    <w:rsid w:val="002A021D"/>
    <w:rsid w:val="002B1EDC"/>
    <w:rsid w:val="0030158B"/>
    <w:rsid w:val="00310799"/>
    <w:rsid w:val="0032513E"/>
    <w:rsid w:val="00384A99"/>
    <w:rsid w:val="003C1408"/>
    <w:rsid w:val="003D5AE8"/>
    <w:rsid w:val="003E6C6E"/>
    <w:rsid w:val="00474585"/>
    <w:rsid w:val="00481469"/>
    <w:rsid w:val="00481E6B"/>
    <w:rsid w:val="004C3AB2"/>
    <w:rsid w:val="004C79EF"/>
    <w:rsid w:val="005013A8"/>
    <w:rsid w:val="00502E39"/>
    <w:rsid w:val="00554255"/>
    <w:rsid w:val="0059467D"/>
    <w:rsid w:val="005A6379"/>
    <w:rsid w:val="005A7DCD"/>
    <w:rsid w:val="005D4601"/>
    <w:rsid w:val="005F3460"/>
    <w:rsid w:val="00620F48"/>
    <w:rsid w:val="00640A9A"/>
    <w:rsid w:val="006505EB"/>
    <w:rsid w:val="00686042"/>
    <w:rsid w:val="006C72FA"/>
    <w:rsid w:val="0071201C"/>
    <w:rsid w:val="007128C2"/>
    <w:rsid w:val="0074241D"/>
    <w:rsid w:val="00747036"/>
    <w:rsid w:val="007627EA"/>
    <w:rsid w:val="00763A0D"/>
    <w:rsid w:val="00766AC9"/>
    <w:rsid w:val="00794E7E"/>
    <w:rsid w:val="00797EC0"/>
    <w:rsid w:val="007B04A9"/>
    <w:rsid w:val="007B2220"/>
    <w:rsid w:val="007B3F1B"/>
    <w:rsid w:val="008453FA"/>
    <w:rsid w:val="00861717"/>
    <w:rsid w:val="00871DB9"/>
    <w:rsid w:val="0088458F"/>
    <w:rsid w:val="008A6442"/>
    <w:rsid w:val="008D4E78"/>
    <w:rsid w:val="008E480A"/>
    <w:rsid w:val="008E5745"/>
    <w:rsid w:val="008F4B72"/>
    <w:rsid w:val="009354EE"/>
    <w:rsid w:val="00936D74"/>
    <w:rsid w:val="00943F3B"/>
    <w:rsid w:val="00976781"/>
    <w:rsid w:val="009A4056"/>
    <w:rsid w:val="009A59D5"/>
    <w:rsid w:val="009D3E40"/>
    <w:rsid w:val="009F275C"/>
    <w:rsid w:val="00A10CF0"/>
    <w:rsid w:val="00A15FB8"/>
    <w:rsid w:val="00A52AB3"/>
    <w:rsid w:val="00A61FD2"/>
    <w:rsid w:val="00A71E3A"/>
    <w:rsid w:val="00A87B3E"/>
    <w:rsid w:val="00A87C38"/>
    <w:rsid w:val="00A93258"/>
    <w:rsid w:val="00A9674D"/>
    <w:rsid w:val="00AD51DF"/>
    <w:rsid w:val="00B0477E"/>
    <w:rsid w:val="00B15637"/>
    <w:rsid w:val="00B23981"/>
    <w:rsid w:val="00B32E1A"/>
    <w:rsid w:val="00B44859"/>
    <w:rsid w:val="00B84FEA"/>
    <w:rsid w:val="00B86B03"/>
    <w:rsid w:val="00B92464"/>
    <w:rsid w:val="00BF284F"/>
    <w:rsid w:val="00BF2DC4"/>
    <w:rsid w:val="00BF70CC"/>
    <w:rsid w:val="00C041F0"/>
    <w:rsid w:val="00C72FA4"/>
    <w:rsid w:val="00CB7B9A"/>
    <w:rsid w:val="00CF0495"/>
    <w:rsid w:val="00D37882"/>
    <w:rsid w:val="00D704C7"/>
    <w:rsid w:val="00DB673D"/>
    <w:rsid w:val="00DE7DB7"/>
    <w:rsid w:val="00E007F7"/>
    <w:rsid w:val="00E15219"/>
    <w:rsid w:val="00E659F7"/>
    <w:rsid w:val="00E73596"/>
    <w:rsid w:val="00E75D76"/>
    <w:rsid w:val="00EE68C6"/>
    <w:rsid w:val="00EF378C"/>
    <w:rsid w:val="00F07238"/>
    <w:rsid w:val="00F81A23"/>
    <w:rsid w:val="00F84856"/>
    <w:rsid w:val="00F9555C"/>
    <w:rsid w:val="00FB538F"/>
    <w:rsid w:val="00FD5FDB"/>
    <w:rsid w:val="00FE4791"/>
    <w:rsid w:val="00FF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6C7A"/>
  <w15:docId w15:val="{36F18D20-5493-459C-A929-3306A275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AB3"/>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A52AB3"/>
    <w:pPr>
      <w:keepNext/>
      <w:pageBreakBefore/>
      <w:shd w:val="clear" w:color="auto" w:fill="C6D9F1"/>
      <w:spacing w:before="120" w:after="240"/>
      <w:jc w:val="center"/>
      <w:outlineLvl w:val="1"/>
    </w:pPr>
    <w:rPr>
      <w:b/>
      <w:bCs/>
      <w:i/>
      <w:iCs/>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2AB3"/>
    <w:rPr>
      <w:rFonts w:ascii="Times New Roman" w:eastAsia="Times New Roman" w:hAnsi="Times New Roman" w:cs="Times New Roman"/>
      <w:b/>
      <w:bCs/>
      <w:i/>
      <w:iCs/>
      <w:sz w:val="24"/>
      <w:szCs w:val="24"/>
      <w:shd w:val="clear" w:color="auto" w:fill="C6D9F1"/>
      <w:lang w:val="sr-Cyrl-CS"/>
    </w:rPr>
  </w:style>
  <w:style w:type="paragraph" w:customStyle="1" w:styleId="Default">
    <w:name w:val="Default"/>
    <w:link w:val="DefaultChar"/>
    <w:rsid w:val="00A52AB3"/>
    <w:pPr>
      <w:autoSpaceDE w:val="0"/>
      <w:autoSpaceDN w:val="0"/>
      <w:adjustRightInd w:val="0"/>
      <w:spacing w:after="0" w:line="240" w:lineRule="auto"/>
    </w:pPr>
    <w:rPr>
      <w:rFonts w:ascii="Arial" w:eastAsia="Times New Roman" w:hAnsi="Arial" w:cs="Times New Roman"/>
      <w:color w:val="000000"/>
      <w:sz w:val="24"/>
      <w:szCs w:val="24"/>
    </w:rPr>
  </w:style>
  <w:style w:type="character" w:customStyle="1" w:styleId="DefaultChar">
    <w:name w:val="Default Char"/>
    <w:link w:val="Default"/>
    <w:locked/>
    <w:rsid w:val="00A52AB3"/>
    <w:rPr>
      <w:rFonts w:ascii="Arial" w:eastAsia="Times New Roman" w:hAnsi="Arial" w:cs="Times New Roman"/>
      <w:color w:val="000000"/>
      <w:sz w:val="24"/>
      <w:szCs w:val="24"/>
    </w:rPr>
  </w:style>
  <w:style w:type="paragraph" w:customStyle="1" w:styleId="nabrajanjebold">
    <w:name w:val="nabrajanje bold"/>
    <w:basedOn w:val="Normal"/>
    <w:qFormat/>
    <w:rsid w:val="00A52AB3"/>
    <w:pPr>
      <w:numPr>
        <w:numId w:val="1"/>
      </w:numPr>
    </w:pPr>
    <w:rPr>
      <w:rFonts w:eastAsia="Calibri-Bold"/>
      <w:b/>
      <w:szCs w:val="24"/>
    </w:rPr>
  </w:style>
  <w:style w:type="character" w:styleId="Hyperlink">
    <w:name w:val="Hyperlink"/>
    <w:basedOn w:val="DefaultParagraphFont"/>
    <w:uiPriority w:val="99"/>
    <w:unhideWhenUsed/>
    <w:rsid w:val="00D704C7"/>
    <w:rPr>
      <w:color w:val="0563C1" w:themeColor="hyperlink"/>
      <w:u w:val="single"/>
    </w:rPr>
  </w:style>
  <w:style w:type="character" w:customStyle="1" w:styleId="UnresolvedMention1">
    <w:name w:val="Unresolved Mention1"/>
    <w:basedOn w:val="DefaultParagraphFont"/>
    <w:uiPriority w:val="99"/>
    <w:semiHidden/>
    <w:unhideWhenUsed/>
    <w:rsid w:val="00D704C7"/>
    <w:rPr>
      <w:color w:val="605E5C"/>
      <w:shd w:val="clear" w:color="auto" w:fill="E1DFDD"/>
    </w:rPr>
  </w:style>
  <w:style w:type="character" w:styleId="UnresolvedMention">
    <w:name w:val="Unresolved Mention"/>
    <w:basedOn w:val="DefaultParagraphFont"/>
    <w:uiPriority w:val="99"/>
    <w:semiHidden/>
    <w:unhideWhenUsed/>
    <w:rsid w:val="00270DBE"/>
    <w:rPr>
      <w:color w:val="605E5C"/>
      <w:shd w:val="clear" w:color="auto" w:fill="E1DFDD"/>
    </w:rPr>
  </w:style>
  <w:style w:type="character" w:customStyle="1" w:styleId="med1">
    <w:name w:val="med1"/>
    <w:basedOn w:val="DefaultParagraphFont"/>
    <w:rsid w:val="008A6442"/>
  </w:style>
  <w:style w:type="paragraph" w:styleId="Header">
    <w:name w:val="header"/>
    <w:basedOn w:val="Normal"/>
    <w:link w:val="HeaderChar"/>
    <w:uiPriority w:val="99"/>
    <w:unhideWhenUsed/>
    <w:rsid w:val="00747036"/>
    <w:pPr>
      <w:tabs>
        <w:tab w:val="center" w:pos="4513"/>
        <w:tab w:val="right" w:pos="9026"/>
      </w:tabs>
    </w:pPr>
  </w:style>
  <w:style w:type="character" w:customStyle="1" w:styleId="HeaderChar">
    <w:name w:val="Header Char"/>
    <w:basedOn w:val="DefaultParagraphFont"/>
    <w:link w:val="Header"/>
    <w:uiPriority w:val="99"/>
    <w:rsid w:val="0074703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47036"/>
    <w:pPr>
      <w:tabs>
        <w:tab w:val="center" w:pos="4513"/>
        <w:tab w:val="right" w:pos="9026"/>
      </w:tabs>
    </w:pPr>
  </w:style>
  <w:style w:type="character" w:customStyle="1" w:styleId="FooterChar">
    <w:name w:val="Footer Char"/>
    <w:basedOn w:val="DefaultParagraphFont"/>
    <w:link w:val="Footer"/>
    <w:uiPriority w:val="99"/>
    <w:rsid w:val="00747036"/>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72FA4"/>
    <w:rPr>
      <w:sz w:val="16"/>
      <w:szCs w:val="16"/>
    </w:rPr>
  </w:style>
  <w:style w:type="paragraph" w:styleId="CommentText">
    <w:name w:val="annotation text"/>
    <w:basedOn w:val="Normal"/>
    <w:link w:val="CommentTextChar"/>
    <w:uiPriority w:val="99"/>
    <w:unhideWhenUsed/>
    <w:rsid w:val="00C72FA4"/>
    <w:rPr>
      <w:sz w:val="20"/>
    </w:rPr>
  </w:style>
  <w:style w:type="character" w:customStyle="1" w:styleId="CommentTextChar">
    <w:name w:val="Comment Text Char"/>
    <w:basedOn w:val="DefaultParagraphFont"/>
    <w:link w:val="CommentText"/>
    <w:uiPriority w:val="99"/>
    <w:rsid w:val="00C72F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2FA4"/>
    <w:rPr>
      <w:b/>
      <w:bCs/>
    </w:rPr>
  </w:style>
  <w:style w:type="character" w:customStyle="1" w:styleId="CommentSubjectChar">
    <w:name w:val="Comment Subject Char"/>
    <w:basedOn w:val="CommentTextChar"/>
    <w:link w:val="CommentSubject"/>
    <w:uiPriority w:val="99"/>
    <w:semiHidden/>
    <w:rsid w:val="00C72FA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43739">
      <w:bodyDiv w:val="1"/>
      <w:marLeft w:val="0"/>
      <w:marRight w:val="0"/>
      <w:marTop w:val="0"/>
      <w:marBottom w:val="0"/>
      <w:divBdr>
        <w:top w:val="none" w:sz="0" w:space="0" w:color="auto"/>
        <w:left w:val="none" w:sz="0" w:space="0" w:color="auto"/>
        <w:bottom w:val="none" w:sz="0" w:space="0" w:color="auto"/>
        <w:right w:val="none" w:sz="0" w:space="0" w:color="auto"/>
      </w:divBdr>
    </w:div>
    <w:div w:id="62188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AC42-CF84-43E0-8097-5B8A9C1B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Popović</dc:creator>
  <cp:lastModifiedBy>Dragana Nenadić</cp:lastModifiedBy>
  <cp:revision>86</cp:revision>
  <dcterms:created xsi:type="dcterms:W3CDTF">2022-12-11T12:14:00Z</dcterms:created>
  <dcterms:modified xsi:type="dcterms:W3CDTF">2023-07-11T17:41:00Z</dcterms:modified>
</cp:coreProperties>
</file>