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B3" w:rsidRDefault="00A52AB3" w:rsidP="00A52AB3">
      <w:pPr>
        <w:pStyle w:val="Heading2"/>
        <w:pageBreakBefore w:val="0"/>
        <w:rPr>
          <w:lang w:val="en-US"/>
        </w:rPr>
      </w:pPr>
      <w:r w:rsidRPr="00214688">
        <w:rPr>
          <w:lang w:val="en-US"/>
        </w:rPr>
        <w:t xml:space="preserve">DESCRIPTION </w:t>
      </w:r>
      <w:r>
        <w:rPr>
          <w:lang w:val="en-US"/>
        </w:rPr>
        <w:t>AND SPECIFICATIONS OF SUBJECT, DELIVERY CONDITIONS OR EXECUTION OR PERFORMANCE OF WORKS</w:t>
      </w:r>
    </w:p>
    <w:p w:rsidR="00A52AB3" w:rsidRPr="00A52AB3" w:rsidRDefault="00A52AB3" w:rsidP="00A52AB3">
      <w:pPr>
        <w:rPr>
          <w:rFonts w:eastAsia="Calibri-Bold"/>
        </w:rPr>
      </w:pPr>
    </w:p>
    <w:p w:rsidR="00A52AB3" w:rsidRPr="00214688" w:rsidRDefault="00A52AB3" w:rsidP="00A52AB3">
      <w:pPr>
        <w:pStyle w:val="nabrajanjebold"/>
      </w:pPr>
      <w:r w:rsidRPr="00214688">
        <w:t>Type of works</w:t>
      </w:r>
    </w:p>
    <w:p w:rsidR="00A52AB3" w:rsidRPr="00214688" w:rsidRDefault="00D704C7" w:rsidP="00A52AB3">
      <w:pPr>
        <w:widowControl w:val="0"/>
        <w:autoSpaceDE w:val="0"/>
        <w:autoSpaceDN w:val="0"/>
        <w:adjustRightInd w:val="0"/>
        <w:ind w:firstLine="709"/>
        <w:jc w:val="both"/>
        <w:rPr>
          <w:szCs w:val="24"/>
        </w:rPr>
      </w:pPr>
      <w:r w:rsidRPr="00D704C7">
        <w:rPr>
          <w:rFonts w:eastAsia="Calibri-Bold"/>
          <w:bCs/>
          <w:color w:val="000000"/>
          <w:szCs w:val="24"/>
        </w:rPr>
        <w:t>CONSTRUCTION WORKS ON CONSTRUCTION, EXTENSION, RECONSTRUCTION AND ADAPTATION OF THE GENERAL HOSPITAL IN NOVI PAZAR</w:t>
      </w:r>
      <w:r>
        <w:rPr>
          <w:rFonts w:eastAsia="Calibri-Bold"/>
          <w:bCs/>
          <w:color w:val="000000"/>
          <w:szCs w:val="24"/>
        </w:rPr>
        <w:t>,</w:t>
      </w:r>
      <w:r w:rsidR="00A52AB3" w:rsidRPr="00214688">
        <w:rPr>
          <w:rFonts w:eastAsia="Calibri-Bold"/>
          <w:bCs/>
          <w:color w:val="000000"/>
          <w:szCs w:val="24"/>
        </w:rPr>
        <w:t xml:space="preserve"> in accordance with the technical documentation, specifications and technical requirements that form integral part of the Tender documentation</w:t>
      </w:r>
      <w:r w:rsidR="00A52AB3" w:rsidRPr="00214688">
        <w:rPr>
          <w:szCs w:val="24"/>
        </w:rPr>
        <w:t>.</w:t>
      </w:r>
    </w:p>
    <w:p w:rsidR="00A52AB3" w:rsidRPr="00214688" w:rsidRDefault="00A52AB3" w:rsidP="00A52AB3">
      <w:pPr>
        <w:ind w:left="708"/>
        <w:rPr>
          <w:rFonts w:eastAsia="Calibri-Bold"/>
          <w:bCs/>
          <w:color w:val="000000"/>
          <w:szCs w:val="24"/>
        </w:rPr>
      </w:pPr>
    </w:p>
    <w:p w:rsidR="00A52AB3" w:rsidRPr="00214688" w:rsidRDefault="00A52AB3" w:rsidP="00A52AB3">
      <w:pPr>
        <w:pStyle w:val="nabrajanjebold"/>
        <w:numPr>
          <w:ilvl w:val="0"/>
          <w:numId w:val="2"/>
        </w:numPr>
      </w:pPr>
      <w:r w:rsidRPr="00214688">
        <w:t>Technical characteristics, quality, quantity, description of works</w:t>
      </w:r>
    </w:p>
    <w:p w:rsidR="00A52AB3" w:rsidRPr="00214688" w:rsidRDefault="00A52AB3" w:rsidP="00A52AB3">
      <w:pPr>
        <w:widowControl w:val="0"/>
        <w:autoSpaceDE w:val="0"/>
        <w:autoSpaceDN w:val="0"/>
        <w:adjustRightInd w:val="0"/>
        <w:ind w:firstLine="709"/>
        <w:jc w:val="both"/>
        <w:rPr>
          <w:rFonts w:eastAsia="Calibri-Bold"/>
          <w:bCs/>
          <w:color w:val="000000"/>
          <w:szCs w:val="24"/>
        </w:rPr>
      </w:pPr>
      <w:r w:rsidRPr="00214688">
        <w:rPr>
          <w:bCs/>
          <w:szCs w:val="24"/>
        </w:rPr>
        <w:t xml:space="preserve">The technical characteristics, quality, quantity and description of the works are given in </w:t>
      </w:r>
      <w:r w:rsidRPr="00214688">
        <w:rPr>
          <w:b/>
          <w:bCs/>
          <w:i/>
          <w:szCs w:val="24"/>
        </w:rPr>
        <w:t>PRICE STRUCTURE FORM WITH INSTRUCTIONS FOR COMPLETING,</w:t>
      </w:r>
      <w:r w:rsidRPr="00214688">
        <w:rPr>
          <w:bCs/>
          <w:szCs w:val="24"/>
        </w:rPr>
        <w:t xml:space="preserve"> containing the specification of the works, unit of measure, installation of materials, etc. as well as the volume of works that need to be performed</w:t>
      </w:r>
      <w:r w:rsidRPr="00214688">
        <w:rPr>
          <w:rFonts w:eastAsia="Calibri-Bold"/>
          <w:bCs/>
          <w:color w:val="000000"/>
          <w:szCs w:val="24"/>
        </w:rPr>
        <w:t xml:space="preserve">. </w:t>
      </w:r>
    </w:p>
    <w:p w:rsidR="00A52AB3" w:rsidRPr="00214688" w:rsidRDefault="00A52AB3" w:rsidP="00A52AB3">
      <w:pPr>
        <w:rPr>
          <w:sz w:val="22"/>
        </w:rPr>
      </w:pPr>
    </w:p>
    <w:p w:rsidR="00A52AB3" w:rsidRPr="00214688" w:rsidRDefault="00A52AB3" w:rsidP="00A52AB3">
      <w:pPr>
        <w:pStyle w:val="nabrajanjebold"/>
        <w:numPr>
          <w:ilvl w:val="0"/>
          <w:numId w:val="2"/>
        </w:numPr>
      </w:pPr>
      <w:r w:rsidRPr="00214688">
        <w:t>Control implementation manner and quality assurance</w:t>
      </w:r>
    </w:p>
    <w:p w:rsidR="00A52AB3" w:rsidRPr="00214688" w:rsidRDefault="00A52AB3" w:rsidP="00A52AB3">
      <w:pPr>
        <w:widowControl w:val="0"/>
        <w:autoSpaceDE w:val="0"/>
        <w:autoSpaceDN w:val="0"/>
        <w:adjustRightInd w:val="0"/>
        <w:ind w:firstLine="709"/>
        <w:jc w:val="both"/>
        <w:rPr>
          <w:color w:val="000000"/>
          <w:szCs w:val="24"/>
        </w:rPr>
      </w:pPr>
      <w:r w:rsidRPr="00214688">
        <w:rPr>
          <w:bCs/>
          <w:szCs w:val="24"/>
        </w:rPr>
        <w:t>For the entire installed material, the Contractor must have the quality certificates and attestations required under the applicable regulations and measures for facilities of that type in accordance with the project documentation</w:t>
      </w:r>
      <w:r w:rsidRPr="00214688">
        <w:rPr>
          <w:color w:val="000000"/>
          <w:szCs w:val="24"/>
        </w:rPr>
        <w:t>.</w:t>
      </w:r>
    </w:p>
    <w:p w:rsidR="00A52AB3" w:rsidRPr="00214688" w:rsidRDefault="00A52AB3" w:rsidP="00A52AB3">
      <w:pPr>
        <w:widowControl w:val="0"/>
        <w:autoSpaceDE w:val="0"/>
        <w:autoSpaceDN w:val="0"/>
        <w:adjustRightInd w:val="0"/>
        <w:ind w:firstLine="709"/>
        <w:jc w:val="both"/>
        <w:rPr>
          <w:color w:val="000000"/>
          <w:szCs w:val="24"/>
        </w:rPr>
      </w:pPr>
      <w:r w:rsidRPr="00214688">
        <w:rPr>
          <w:color w:val="000000"/>
          <w:szCs w:val="24"/>
        </w:rPr>
        <w:t>Submitted reports on the quality of installed material must be issued by an accredited laboratory for that type of material.</w:t>
      </w:r>
    </w:p>
    <w:p w:rsidR="00A52AB3" w:rsidRPr="00214688" w:rsidRDefault="00A52AB3" w:rsidP="00A52AB3">
      <w:pPr>
        <w:widowControl w:val="0"/>
        <w:autoSpaceDE w:val="0"/>
        <w:autoSpaceDN w:val="0"/>
        <w:adjustRightInd w:val="0"/>
        <w:ind w:firstLine="709"/>
        <w:jc w:val="both"/>
        <w:rPr>
          <w:color w:val="000000"/>
          <w:szCs w:val="24"/>
        </w:rPr>
      </w:pPr>
      <w:r w:rsidRPr="00214688">
        <w:rPr>
          <w:color w:val="000000"/>
          <w:szCs w:val="24"/>
        </w:rPr>
        <w:t>If the Contracting Authority determines that the material used does not meet the standards and technical regulations, it may reject it and prohibit its use. In the event of a dispute, the findings of an approved quality control organization shall prevail.</w:t>
      </w:r>
    </w:p>
    <w:p w:rsidR="00A52AB3" w:rsidRPr="00214688" w:rsidRDefault="00A52AB3" w:rsidP="00A52AB3">
      <w:pPr>
        <w:widowControl w:val="0"/>
        <w:autoSpaceDE w:val="0"/>
        <w:autoSpaceDN w:val="0"/>
        <w:adjustRightInd w:val="0"/>
        <w:ind w:firstLine="709"/>
        <w:jc w:val="both"/>
        <w:rPr>
          <w:color w:val="000000"/>
          <w:szCs w:val="24"/>
        </w:rPr>
      </w:pPr>
      <w:r w:rsidRPr="00214688">
        <w:rPr>
          <w:color w:val="000000"/>
          <w:szCs w:val="24"/>
        </w:rPr>
        <w:t>The Contractor shall be obliged to carry out appropriate material testing at its own expense. In addition, it shall be responsible for the use of material that is not of adequate quality.</w:t>
      </w:r>
    </w:p>
    <w:p w:rsidR="00A52AB3" w:rsidRPr="00214688" w:rsidRDefault="00A52AB3" w:rsidP="00A52AB3">
      <w:pPr>
        <w:widowControl w:val="0"/>
        <w:autoSpaceDE w:val="0"/>
        <w:autoSpaceDN w:val="0"/>
        <w:adjustRightInd w:val="0"/>
        <w:ind w:firstLine="709"/>
        <w:jc w:val="both"/>
        <w:rPr>
          <w:color w:val="000000"/>
          <w:szCs w:val="24"/>
        </w:rPr>
      </w:pPr>
      <w:r w:rsidRPr="00214688">
        <w:rPr>
          <w:bCs/>
          <w:szCs w:val="24"/>
        </w:rPr>
        <w:t>In the event that the use of poor</w:t>
      </w:r>
      <w:r w:rsidR="003E6C6E">
        <w:rPr>
          <w:bCs/>
          <w:szCs w:val="24"/>
        </w:rPr>
        <w:t xml:space="preserve"> </w:t>
      </w:r>
      <w:r w:rsidRPr="00214688">
        <w:rPr>
          <w:bCs/>
          <w:szCs w:val="24"/>
        </w:rPr>
        <w:t>quality material compromises the safety or functionality of the facility, the Contracting Authority shall have the right to request from the Contractor to demolish the performed works and to perform them again at its own expense in accordance with the technical documentation and contractual provisions. If the Contractor fails to do so within the specified deadline, the Contracting Authority shall have the right to hire another entity at the expense of the Contractor</w:t>
      </w:r>
      <w:r w:rsidRPr="00214688">
        <w:rPr>
          <w:color w:val="000000"/>
          <w:szCs w:val="24"/>
        </w:rPr>
        <w:t>.</w:t>
      </w:r>
    </w:p>
    <w:p w:rsidR="00A52AB3" w:rsidRPr="00214688" w:rsidRDefault="00A52AB3" w:rsidP="00A52AB3">
      <w:pPr>
        <w:pStyle w:val="Default"/>
        <w:jc w:val="both"/>
        <w:rPr>
          <w:rFonts w:ascii="Times New Roman" w:eastAsia="Calibri-Bold" w:hAnsi="Times New Roman"/>
          <w:bCs/>
        </w:rPr>
      </w:pPr>
    </w:p>
    <w:p w:rsidR="00A52AB3" w:rsidRPr="00214688" w:rsidRDefault="00A52AB3" w:rsidP="00A52AB3">
      <w:pPr>
        <w:pStyle w:val="Default"/>
        <w:jc w:val="both"/>
        <w:rPr>
          <w:rFonts w:ascii="Times New Roman" w:eastAsia="Calibri-Bold" w:hAnsi="Times New Roman"/>
          <w:bCs/>
        </w:rPr>
      </w:pPr>
    </w:p>
    <w:p w:rsidR="00A52AB3" w:rsidRPr="00214688" w:rsidRDefault="00A52AB3" w:rsidP="00A52AB3">
      <w:pPr>
        <w:pStyle w:val="Default"/>
        <w:jc w:val="both"/>
        <w:rPr>
          <w:rFonts w:ascii="Times New Roman" w:eastAsia="Calibri-Bold" w:hAnsi="Times New Roman"/>
          <w:bCs/>
        </w:rPr>
      </w:pPr>
    </w:p>
    <w:p w:rsidR="00A52AB3" w:rsidRPr="00214688" w:rsidRDefault="00A52AB3" w:rsidP="00A52AB3">
      <w:pPr>
        <w:pStyle w:val="Default"/>
        <w:jc w:val="both"/>
        <w:rPr>
          <w:rFonts w:ascii="Times New Roman" w:eastAsia="Calibri-Bold" w:hAnsi="Times New Roman"/>
          <w:bCs/>
        </w:rPr>
      </w:pPr>
      <w:r w:rsidRPr="00214688">
        <w:rPr>
          <w:rFonts w:ascii="Times New Roman" w:eastAsia="Calibri-Bold" w:hAnsi="Times New Roman"/>
          <w:bCs/>
        </w:rPr>
        <w:t>SUBCONTRACTORS APPOINTED IN THE BILL OF QUANTITIES</w:t>
      </w:r>
    </w:p>
    <w:p w:rsidR="00A52AB3" w:rsidRPr="00214688" w:rsidRDefault="00A52AB3" w:rsidP="00A52AB3">
      <w:pPr>
        <w:pStyle w:val="Default"/>
        <w:jc w:val="both"/>
        <w:rPr>
          <w:rFonts w:ascii="Times New Roman" w:eastAsia="Calibri-Bold" w:hAnsi="Times New Roman"/>
          <w:bCs/>
        </w:rPr>
      </w:pPr>
    </w:p>
    <w:p w:rsidR="00A52AB3" w:rsidRPr="00214688" w:rsidRDefault="00A52AB3" w:rsidP="00A52AB3">
      <w:pPr>
        <w:pStyle w:val="Default"/>
        <w:jc w:val="both"/>
        <w:rPr>
          <w:rFonts w:ascii="Times New Roman" w:eastAsia="Calibri-Bold" w:hAnsi="Times New Roman"/>
          <w:bCs/>
        </w:rPr>
      </w:pPr>
      <w:r w:rsidRPr="00214688">
        <w:rPr>
          <w:rFonts w:ascii="Times New Roman" w:eastAsia="Calibri-Bold" w:hAnsi="Times New Roman"/>
          <w:bCs/>
        </w:rPr>
        <w:tab/>
        <w:t xml:space="preserve">When the technical requirements indicate the name of a manufacturer in connection with any product or material, it serves the purpose of providing examples from the viewpoint of the required standards for the product or material. A manufacturer listed in this way in the technical requirements shall not be considered a nominated manufacturer. The bidder may propose and obtain a product or material from another manufacturer, provided that it can prove that it is an equivalent product and material. </w:t>
      </w:r>
    </w:p>
    <w:p w:rsidR="00A52AB3" w:rsidRPr="00214688" w:rsidRDefault="00A52AB3" w:rsidP="00A52AB3">
      <w:pPr>
        <w:pStyle w:val="Default"/>
        <w:jc w:val="both"/>
        <w:rPr>
          <w:rFonts w:ascii="Times New Roman" w:eastAsia="Calibri-Bold" w:hAnsi="Times New Roman"/>
          <w:bCs/>
        </w:rPr>
      </w:pPr>
      <w:r w:rsidRPr="00214688">
        <w:rPr>
          <w:rFonts w:ascii="Times New Roman" w:eastAsia="Calibri-Bold" w:hAnsi="Times New Roman"/>
          <w:bCs/>
        </w:rPr>
        <w:lastRenderedPageBreak/>
        <w:tab/>
        <w:t xml:space="preserve">The contracting authority shall inform the bidder that any indication of elements such as a trademark, patent, type or manufacturer is accompanied by the words “or equivalent” in the tender documentation. </w:t>
      </w:r>
    </w:p>
    <w:p w:rsidR="00A52AB3" w:rsidRPr="00214688" w:rsidRDefault="00A52AB3" w:rsidP="00A52AB3">
      <w:pPr>
        <w:pStyle w:val="Default"/>
        <w:jc w:val="both"/>
        <w:rPr>
          <w:rFonts w:ascii="Times New Roman" w:eastAsia="Calibri-Bold" w:hAnsi="Times New Roman"/>
          <w:bCs/>
        </w:rPr>
      </w:pPr>
      <w:r w:rsidRPr="00214688">
        <w:rPr>
          <w:rFonts w:ascii="Times New Roman" w:eastAsia="Calibri-Bold" w:hAnsi="Times New Roman"/>
          <w:bCs/>
        </w:rPr>
        <w:tab/>
        <w:t xml:space="preserve">The term “or equivalent” for certain items listed in the Form about material and equipment manufacturers, the bidder shall prove by specifying the manufacturer and the offered model and submitting technical data sheets of all goods, products or materials specified in the Form about material and equipment manufacturer. On each technical data sheet the bidder must enter the serial number of the position from the Bill of Quantities works or the Form. </w:t>
      </w:r>
    </w:p>
    <w:p w:rsidR="00A52AB3" w:rsidRPr="00214688" w:rsidRDefault="00A52AB3" w:rsidP="00A52AB3">
      <w:pPr>
        <w:pStyle w:val="Default"/>
        <w:jc w:val="both"/>
        <w:rPr>
          <w:rFonts w:ascii="Times New Roman" w:hAnsi="Times New Roman"/>
          <w:bCs/>
          <w:color w:val="auto"/>
        </w:rPr>
      </w:pPr>
      <w:r w:rsidRPr="00214688">
        <w:rPr>
          <w:rFonts w:ascii="Times New Roman" w:hAnsi="Times New Roman"/>
          <w:bCs/>
          <w:color w:val="auto"/>
        </w:rPr>
        <w:tab/>
        <w:t>The Form about material and equipment manufacturers (Chapter XIII) shall form a mandatory part of the bid and is an integral part of contract on the execution of works.</w:t>
      </w:r>
    </w:p>
    <w:p w:rsidR="00A52AB3" w:rsidRPr="00214688" w:rsidRDefault="00A52AB3" w:rsidP="00A52AB3">
      <w:pPr>
        <w:pStyle w:val="Default"/>
        <w:jc w:val="both"/>
        <w:rPr>
          <w:rFonts w:ascii="Times New Roman" w:hAnsi="Times New Roman"/>
          <w:bCs/>
          <w:color w:val="auto"/>
        </w:rPr>
      </w:pPr>
      <w:r w:rsidRPr="00214688">
        <w:rPr>
          <w:rFonts w:ascii="Times New Roman" w:hAnsi="Times New Roman"/>
          <w:bCs/>
          <w:color w:val="auto"/>
        </w:rPr>
        <w:tab/>
        <w:t xml:space="preserve">In case it is found that the technical specification of the offered good does not meet the requirements of the Contracting Authority defined by the Main Design which is an integral part of the tender documentation, and other requirements of the Contracting Authority specified in the tender documentation, the Bidder's bid shall be rejected as inappropriate in accordance with Article 3, paragraph 1. item 32) of the Law. </w:t>
      </w:r>
    </w:p>
    <w:p w:rsidR="00A52AB3" w:rsidRPr="00214688" w:rsidRDefault="00A52AB3" w:rsidP="00A52AB3">
      <w:pPr>
        <w:pStyle w:val="Default"/>
        <w:jc w:val="both"/>
        <w:rPr>
          <w:rFonts w:ascii="Times New Roman" w:hAnsi="Times New Roman"/>
          <w:bCs/>
          <w:color w:val="auto"/>
        </w:rPr>
      </w:pPr>
      <w:r w:rsidRPr="00214688">
        <w:rPr>
          <w:rFonts w:ascii="Times New Roman" w:hAnsi="Times New Roman"/>
          <w:bCs/>
          <w:color w:val="auto"/>
        </w:rPr>
        <w:tab/>
        <w:t xml:space="preserve">In the event of inability to obtain and install materials and equipment according to the offered models and manufacturers listed in the Form about material and equipment manufacturers, the bidder shall be required to obtain a document from the manufacturer, which explains the inability of delivery (cessation of production, and the like), as well as a proposal for substitution of equivalent equipment submitted for approval to the Professional Supervision Officer and the Contracting Authority. </w:t>
      </w:r>
    </w:p>
    <w:p w:rsidR="00A52AB3" w:rsidRPr="00214688" w:rsidRDefault="00A52AB3" w:rsidP="00A52AB3">
      <w:pPr>
        <w:jc w:val="both"/>
        <w:rPr>
          <w:bCs/>
          <w:szCs w:val="24"/>
        </w:rPr>
      </w:pPr>
      <w:r w:rsidRPr="00214688">
        <w:rPr>
          <w:bCs/>
          <w:szCs w:val="24"/>
        </w:rPr>
        <w:tab/>
        <w:t>The material and equipment to be replaced, in relation to the models and manufacturers offered, in the chapter Form about material and equipment manufacturers, with the consent of the Professional Supervision Officer and the Contracting Authority, must be equivalent and appropriate to the technical characteristics of the previously offered good and delivered and installed at the agreed price.</w:t>
      </w:r>
    </w:p>
    <w:p w:rsidR="00A52AB3" w:rsidRPr="00214688" w:rsidRDefault="00A52AB3" w:rsidP="00A52AB3">
      <w:pPr>
        <w:widowControl w:val="0"/>
        <w:autoSpaceDE w:val="0"/>
        <w:autoSpaceDN w:val="0"/>
        <w:adjustRightInd w:val="0"/>
        <w:ind w:firstLine="709"/>
        <w:jc w:val="both"/>
        <w:rPr>
          <w:b/>
          <w:color w:val="000000"/>
          <w:szCs w:val="24"/>
        </w:rPr>
      </w:pPr>
      <w:r w:rsidRPr="00214688">
        <w:rPr>
          <w:b/>
          <w:szCs w:val="24"/>
        </w:rPr>
        <w:t>It is mandatory to submit with the bid the Technical sheets of all goods, products or materials specified in the Form about material and equipment manufacturers. The bidder must enter in each technical sheet the serial number of the position of the Bill of Quantities which the technical sheet refers to, as required by the tender documentation</w:t>
      </w:r>
      <w:r w:rsidRPr="00214688">
        <w:rPr>
          <w:b/>
          <w:color w:val="000000"/>
          <w:szCs w:val="24"/>
        </w:rPr>
        <w:t xml:space="preserve">. </w:t>
      </w:r>
    </w:p>
    <w:p w:rsidR="00A52AB3" w:rsidRPr="00214688" w:rsidRDefault="00A52AB3" w:rsidP="00A52AB3">
      <w:pPr>
        <w:widowControl w:val="0"/>
        <w:autoSpaceDE w:val="0"/>
        <w:autoSpaceDN w:val="0"/>
        <w:adjustRightInd w:val="0"/>
        <w:ind w:firstLine="709"/>
        <w:jc w:val="both"/>
        <w:rPr>
          <w:color w:val="000000"/>
          <w:szCs w:val="24"/>
        </w:rPr>
      </w:pPr>
      <w:r w:rsidRPr="00214688">
        <w:rPr>
          <w:szCs w:val="24"/>
        </w:rPr>
        <w:t>Professional supervision over the execution of contracted works is carried out in accordance with the law governing planning and construction</w:t>
      </w:r>
      <w:r w:rsidRPr="00214688">
        <w:rPr>
          <w:color w:val="000000"/>
          <w:szCs w:val="24"/>
        </w:rPr>
        <w:t xml:space="preserve">. </w:t>
      </w:r>
    </w:p>
    <w:p w:rsidR="00A52AB3" w:rsidRPr="00214688" w:rsidRDefault="00A52AB3" w:rsidP="00A52AB3">
      <w:pPr>
        <w:widowControl w:val="0"/>
        <w:autoSpaceDE w:val="0"/>
        <w:autoSpaceDN w:val="0"/>
        <w:adjustRightInd w:val="0"/>
        <w:ind w:firstLine="709"/>
        <w:jc w:val="both"/>
        <w:rPr>
          <w:color w:val="000000"/>
          <w:szCs w:val="24"/>
        </w:rPr>
      </w:pPr>
      <w:r w:rsidRPr="00214688">
        <w:rPr>
          <w:szCs w:val="24"/>
        </w:rPr>
        <w:t>The Contractor shall not be exempt from liability if the damage was caused by the fact that in performing certain works it acted upon the Contracting Authority's requests</w:t>
      </w:r>
      <w:r w:rsidRPr="00214688">
        <w:rPr>
          <w:color w:val="000000"/>
          <w:szCs w:val="24"/>
        </w:rPr>
        <w:t>.</w:t>
      </w:r>
    </w:p>
    <w:p w:rsidR="00A52AB3" w:rsidRPr="00214688" w:rsidRDefault="00A52AB3" w:rsidP="00A52AB3">
      <w:pPr>
        <w:widowControl w:val="0"/>
        <w:autoSpaceDE w:val="0"/>
        <w:autoSpaceDN w:val="0"/>
        <w:adjustRightInd w:val="0"/>
        <w:ind w:firstLine="709"/>
        <w:jc w:val="both"/>
        <w:rPr>
          <w:bCs/>
          <w:color w:val="0070C0"/>
          <w:szCs w:val="24"/>
        </w:rPr>
      </w:pPr>
      <w:r w:rsidRPr="00214688">
        <w:rPr>
          <w:szCs w:val="24"/>
        </w:rPr>
        <w:t>Quality control and assurance are carried out through professional supervision designated by the Contracting Authority in accordance with the law, which checks and determines whether</w:t>
      </w:r>
      <w:r>
        <w:rPr>
          <w:szCs w:val="24"/>
        </w:rPr>
        <w:t xml:space="preserve"> </w:t>
      </w:r>
      <w:r w:rsidRPr="00214688">
        <w:rPr>
          <w:szCs w:val="24"/>
        </w:rPr>
        <w:t>the works have been performed in accordance with the technical documentation</w:t>
      </w:r>
      <w:r>
        <w:rPr>
          <w:szCs w:val="24"/>
        </w:rPr>
        <w:t xml:space="preserve"> </w:t>
      </w:r>
      <w:r w:rsidRPr="00214688">
        <w:rPr>
          <w:szCs w:val="24"/>
        </w:rPr>
        <w:t>and the envisaged</w:t>
      </w:r>
      <w:r>
        <w:rPr>
          <w:szCs w:val="24"/>
        </w:rPr>
        <w:t xml:space="preserve"> </w:t>
      </w:r>
      <w:r w:rsidRPr="00214688">
        <w:rPr>
          <w:szCs w:val="24"/>
        </w:rPr>
        <w:t>specification of works</w:t>
      </w:r>
      <w:r>
        <w:rPr>
          <w:szCs w:val="24"/>
        </w:rPr>
        <w:t xml:space="preserve"> </w:t>
      </w:r>
      <w:r w:rsidRPr="00214688">
        <w:rPr>
          <w:szCs w:val="24"/>
        </w:rPr>
        <w:t>in terms of type, quantity, quality and deadline for execution of works, and it regularly reports the Contracting Authority thereof, in accordance with the contract on professional supervision and under legal regulations.</w:t>
      </w:r>
    </w:p>
    <w:p w:rsidR="00A52AB3" w:rsidRPr="00214688" w:rsidRDefault="00A52AB3" w:rsidP="00A52AB3">
      <w:pPr>
        <w:widowControl w:val="0"/>
        <w:autoSpaceDE w:val="0"/>
        <w:autoSpaceDN w:val="0"/>
        <w:adjustRightInd w:val="0"/>
        <w:ind w:firstLine="709"/>
        <w:jc w:val="both"/>
        <w:rPr>
          <w:szCs w:val="24"/>
        </w:rPr>
      </w:pPr>
      <w:r w:rsidRPr="00214688">
        <w:rPr>
          <w:szCs w:val="24"/>
        </w:rPr>
        <w:t>After the completion of all planned works with the entry in the Construction log, the contractor is obliged to inform the contracting authority’s representative and the professional supervision officer in order to sign the Record of handover of the works</w:t>
      </w:r>
      <w:r w:rsidRPr="00214688">
        <w:rPr>
          <w:color w:val="000000"/>
          <w:szCs w:val="24"/>
        </w:rPr>
        <w:t>.</w:t>
      </w:r>
    </w:p>
    <w:p w:rsidR="00A52AB3" w:rsidRPr="00214688" w:rsidRDefault="00A52AB3" w:rsidP="00A52AB3">
      <w:pPr>
        <w:widowControl w:val="0"/>
        <w:autoSpaceDE w:val="0"/>
        <w:autoSpaceDN w:val="0"/>
        <w:adjustRightInd w:val="0"/>
        <w:ind w:firstLine="709"/>
        <w:jc w:val="both"/>
        <w:rPr>
          <w:szCs w:val="24"/>
        </w:rPr>
      </w:pPr>
      <w:r w:rsidRPr="00214688">
        <w:rPr>
          <w:szCs w:val="24"/>
        </w:rPr>
        <w:t>The essential requirements</w:t>
      </w:r>
      <w:r>
        <w:rPr>
          <w:szCs w:val="24"/>
        </w:rPr>
        <w:t xml:space="preserve"> </w:t>
      </w:r>
      <w:r w:rsidRPr="00214688">
        <w:rPr>
          <w:szCs w:val="24"/>
        </w:rPr>
        <w:t xml:space="preserve">that have not been included in the valid technical norms and standards, which refer to the environmental protection, energy efficiency, safety and other factors of general interest, must be complied with during the execution of construction and </w:t>
      </w:r>
      <w:r w:rsidRPr="00214688">
        <w:rPr>
          <w:szCs w:val="24"/>
        </w:rPr>
        <w:lastRenderedPageBreak/>
        <w:t>finishing works, in accordance with regulations governing the said areas.</w:t>
      </w:r>
    </w:p>
    <w:p w:rsidR="00A52AB3" w:rsidRPr="00214688" w:rsidRDefault="00A52AB3" w:rsidP="00A52AB3">
      <w:pPr>
        <w:widowControl w:val="0"/>
        <w:autoSpaceDE w:val="0"/>
        <w:autoSpaceDN w:val="0"/>
        <w:adjustRightInd w:val="0"/>
        <w:ind w:firstLine="709"/>
        <w:jc w:val="both"/>
        <w:rPr>
          <w:color w:val="000000"/>
          <w:szCs w:val="24"/>
        </w:rPr>
      </w:pPr>
      <w:r w:rsidRPr="00214688">
        <w:rPr>
          <w:szCs w:val="24"/>
        </w:rPr>
        <w:t>Control of the execution of works will also be carried out by the person responsible with the Contracting Authority for monitoring and controlling the execution of the contract, concluded after the conducted public procurement procedure. The person responsible for monitoring and controlling the execution of contractual obligations is</w:t>
      </w:r>
      <w:r>
        <w:rPr>
          <w:szCs w:val="24"/>
        </w:rPr>
        <w:t xml:space="preserve"> </w:t>
      </w:r>
      <w:r w:rsidRPr="00214688">
        <w:rPr>
          <w:szCs w:val="24"/>
        </w:rPr>
        <w:t>first and last name, telephone number</w:t>
      </w:r>
      <w:r w:rsidRPr="00214688">
        <w:rPr>
          <w:color w:val="000000"/>
          <w:szCs w:val="24"/>
        </w:rPr>
        <w:t>: 064.</w:t>
      </w:r>
    </w:p>
    <w:p w:rsidR="00A52AB3" w:rsidRPr="00214688" w:rsidRDefault="00A52AB3" w:rsidP="00A52AB3">
      <w:pPr>
        <w:ind w:firstLine="360"/>
        <w:jc w:val="both"/>
        <w:rPr>
          <w:color w:val="000000"/>
          <w:szCs w:val="24"/>
        </w:rPr>
      </w:pPr>
    </w:p>
    <w:p w:rsidR="00A52AB3" w:rsidRPr="00214688" w:rsidRDefault="00A52AB3" w:rsidP="00A52AB3">
      <w:pPr>
        <w:pStyle w:val="nabrajanjebold"/>
        <w:numPr>
          <w:ilvl w:val="0"/>
          <w:numId w:val="2"/>
        </w:numPr>
      </w:pPr>
      <w:r w:rsidRPr="00214688">
        <w:t>Deadline for performance of works</w:t>
      </w:r>
    </w:p>
    <w:p w:rsidR="00A52AB3" w:rsidRPr="00214688" w:rsidRDefault="00A52AB3" w:rsidP="00A52AB3">
      <w:pPr>
        <w:widowControl w:val="0"/>
        <w:autoSpaceDE w:val="0"/>
        <w:autoSpaceDN w:val="0"/>
        <w:adjustRightInd w:val="0"/>
        <w:ind w:firstLine="709"/>
        <w:jc w:val="both"/>
        <w:rPr>
          <w:szCs w:val="24"/>
        </w:rPr>
      </w:pPr>
      <w:r w:rsidRPr="00214688">
        <w:rPr>
          <w:szCs w:val="24"/>
        </w:rPr>
        <w:t>The deadline for performance of construction works that are the subject of public procurement may not</w:t>
      </w:r>
      <w:r>
        <w:rPr>
          <w:szCs w:val="24"/>
        </w:rPr>
        <w:t xml:space="preserve"> </w:t>
      </w:r>
      <w:r w:rsidRPr="00214688">
        <w:rPr>
          <w:szCs w:val="24"/>
        </w:rPr>
        <w:t xml:space="preserve">exceed </w:t>
      </w:r>
      <w:r w:rsidR="00D704C7">
        <w:rPr>
          <w:szCs w:val="24"/>
        </w:rPr>
        <w:t>1095</w:t>
      </w:r>
      <w:r w:rsidRPr="00214688">
        <w:rPr>
          <w:szCs w:val="24"/>
        </w:rPr>
        <w:t xml:space="preserve"> calendar days from the possession of the site by the bidder - contractor. The Supervision officer is obliged to give the Contractor the possession of site within 10 days after the Contract enters into force, unless otherwise agreed.</w:t>
      </w:r>
    </w:p>
    <w:p w:rsidR="00A52AB3" w:rsidRPr="00214688" w:rsidRDefault="00A52AB3" w:rsidP="00A52AB3">
      <w:pPr>
        <w:widowControl w:val="0"/>
        <w:autoSpaceDE w:val="0"/>
        <w:autoSpaceDN w:val="0"/>
        <w:adjustRightInd w:val="0"/>
        <w:ind w:firstLine="709"/>
        <w:jc w:val="both"/>
        <w:rPr>
          <w:szCs w:val="24"/>
          <w:lang w:eastAsia="sr-Cyrl-CS"/>
        </w:rPr>
      </w:pPr>
      <w:r w:rsidRPr="00214688">
        <w:rPr>
          <w:szCs w:val="24"/>
        </w:rPr>
        <w:t>The works on the facility shall be performed without the execution stages</w:t>
      </w:r>
      <w:r w:rsidRPr="00214688">
        <w:rPr>
          <w:szCs w:val="24"/>
          <w:lang w:eastAsia="sr-Cyrl-CS"/>
        </w:rPr>
        <w:t>.</w:t>
      </w:r>
    </w:p>
    <w:p w:rsidR="00A52AB3" w:rsidRPr="00214688" w:rsidRDefault="00A52AB3" w:rsidP="00A52AB3">
      <w:pPr>
        <w:jc w:val="both"/>
        <w:rPr>
          <w:lang w:eastAsia="sr-Cyrl-CS"/>
        </w:rPr>
      </w:pPr>
    </w:p>
    <w:p w:rsidR="00A52AB3" w:rsidRPr="00214688" w:rsidRDefault="00A52AB3" w:rsidP="00A52AB3">
      <w:pPr>
        <w:pStyle w:val="nabrajanjebold"/>
        <w:numPr>
          <w:ilvl w:val="0"/>
          <w:numId w:val="2"/>
        </w:numPr>
      </w:pPr>
      <w:r w:rsidRPr="00214688">
        <w:t>Place of performance of works</w:t>
      </w:r>
    </w:p>
    <w:p w:rsidR="00D704C7" w:rsidRPr="00D704C7" w:rsidRDefault="00D704C7" w:rsidP="00D704C7">
      <w:pPr>
        <w:widowControl w:val="0"/>
        <w:tabs>
          <w:tab w:val="left" w:pos="0"/>
          <w:tab w:val="left" w:pos="180"/>
        </w:tabs>
        <w:autoSpaceDE w:val="0"/>
        <w:autoSpaceDN w:val="0"/>
        <w:adjustRightInd w:val="0"/>
        <w:jc w:val="both"/>
        <w:rPr>
          <w:bCs/>
          <w:szCs w:val="24"/>
          <w:lang w:eastAsia="sr-Cyrl-CS"/>
        </w:rPr>
      </w:pPr>
      <w:r w:rsidRPr="00D704C7">
        <w:rPr>
          <w:bCs/>
          <w:szCs w:val="24"/>
          <w:lang w:eastAsia="sr-Cyrl-CS"/>
        </w:rPr>
        <w:t xml:space="preserve">General Hospital Novi </w:t>
      </w:r>
      <w:proofErr w:type="spellStart"/>
      <w:r w:rsidRPr="00D704C7">
        <w:rPr>
          <w:bCs/>
          <w:szCs w:val="24"/>
          <w:lang w:eastAsia="sr-Cyrl-CS"/>
        </w:rPr>
        <w:t>Pazar</w:t>
      </w:r>
      <w:proofErr w:type="spellEnd"/>
      <w:r w:rsidRPr="00D704C7">
        <w:rPr>
          <w:bCs/>
          <w:szCs w:val="24"/>
          <w:lang w:eastAsia="sr-Cyrl-CS"/>
        </w:rPr>
        <w:t xml:space="preserve">, </w:t>
      </w:r>
      <w:bookmarkStart w:id="0" w:name="_Hlk107906365"/>
      <w:proofErr w:type="spellStart"/>
      <w:r>
        <w:rPr>
          <w:bCs/>
          <w:szCs w:val="24"/>
          <w:lang w:eastAsia="sr-Cyrl-CS"/>
        </w:rPr>
        <w:t>Generala</w:t>
      </w:r>
      <w:proofErr w:type="spellEnd"/>
      <w:r>
        <w:rPr>
          <w:bCs/>
          <w:szCs w:val="24"/>
          <w:lang w:eastAsia="sr-Cyrl-CS"/>
        </w:rPr>
        <w:t xml:space="preserve"> </w:t>
      </w:r>
      <w:proofErr w:type="spellStart"/>
      <w:r>
        <w:rPr>
          <w:bCs/>
          <w:szCs w:val="24"/>
          <w:lang w:eastAsia="sr-Cyrl-CS"/>
        </w:rPr>
        <w:t>Živkovića</w:t>
      </w:r>
      <w:proofErr w:type="spellEnd"/>
      <w:r>
        <w:rPr>
          <w:bCs/>
          <w:szCs w:val="24"/>
          <w:lang w:eastAsia="sr-Cyrl-CS"/>
        </w:rPr>
        <w:t xml:space="preserve"> </w:t>
      </w:r>
      <w:bookmarkEnd w:id="0"/>
      <w:r w:rsidRPr="00D704C7">
        <w:rPr>
          <w:bCs/>
          <w:szCs w:val="24"/>
          <w:lang w:eastAsia="sr-Cyrl-CS"/>
        </w:rPr>
        <w:t xml:space="preserve">No.1, </w:t>
      </w:r>
      <w:r>
        <w:rPr>
          <w:bCs/>
          <w:szCs w:val="24"/>
          <w:lang w:eastAsia="sr-Cyrl-CS"/>
        </w:rPr>
        <w:t xml:space="preserve">Novi </w:t>
      </w:r>
      <w:proofErr w:type="spellStart"/>
      <w:r>
        <w:rPr>
          <w:bCs/>
          <w:szCs w:val="24"/>
          <w:lang w:eastAsia="sr-Cyrl-CS"/>
        </w:rPr>
        <w:t>Pazar</w:t>
      </w:r>
      <w:proofErr w:type="spellEnd"/>
      <w:r w:rsidRPr="00D704C7">
        <w:rPr>
          <w:bCs/>
          <w:szCs w:val="24"/>
          <w:lang w:eastAsia="sr-Cyrl-CS"/>
        </w:rPr>
        <w:t xml:space="preserve">, 36300, cadastral parcels 7216/1 КО </w:t>
      </w:r>
      <w:proofErr w:type="spellStart"/>
      <w:r w:rsidRPr="00D704C7">
        <w:rPr>
          <w:bCs/>
          <w:szCs w:val="24"/>
          <w:lang w:eastAsia="sr-Cyrl-CS"/>
        </w:rPr>
        <w:t>Нови</w:t>
      </w:r>
      <w:proofErr w:type="spellEnd"/>
      <w:r w:rsidRPr="00D704C7">
        <w:rPr>
          <w:bCs/>
          <w:szCs w:val="24"/>
          <w:lang w:eastAsia="sr-Cyrl-CS"/>
        </w:rPr>
        <w:t xml:space="preserve"> </w:t>
      </w:r>
      <w:proofErr w:type="spellStart"/>
      <w:r w:rsidRPr="00D704C7">
        <w:rPr>
          <w:bCs/>
          <w:szCs w:val="24"/>
          <w:lang w:eastAsia="sr-Cyrl-CS"/>
        </w:rPr>
        <w:t>Пазар</w:t>
      </w:r>
      <w:proofErr w:type="spellEnd"/>
      <w:r w:rsidRPr="00D704C7">
        <w:rPr>
          <w:bCs/>
          <w:szCs w:val="24"/>
          <w:lang w:eastAsia="sr-Cyrl-CS"/>
        </w:rPr>
        <w:t>.</w:t>
      </w:r>
    </w:p>
    <w:p w:rsidR="00A52AB3" w:rsidRDefault="00D704C7" w:rsidP="00D704C7">
      <w:pPr>
        <w:widowControl w:val="0"/>
        <w:tabs>
          <w:tab w:val="left" w:pos="0"/>
          <w:tab w:val="left" w:pos="180"/>
        </w:tabs>
        <w:autoSpaceDE w:val="0"/>
        <w:autoSpaceDN w:val="0"/>
        <w:adjustRightInd w:val="0"/>
        <w:jc w:val="both"/>
        <w:rPr>
          <w:bCs/>
          <w:szCs w:val="24"/>
          <w:lang w:eastAsia="sr-Cyrl-CS"/>
        </w:rPr>
      </w:pPr>
      <w:r w:rsidRPr="00D704C7">
        <w:rPr>
          <w:bCs/>
          <w:szCs w:val="24"/>
          <w:lang w:eastAsia="sr-Cyrl-CS"/>
        </w:rPr>
        <w:t>Health centre</w:t>
      </w:r>
      <w:r>
        <w:rPr>
          <w:bCs/>
          <w:szCs w:val="24"/>
          <w:lang w:eastAsia="sr-Cyrl-CS"/>
        </w:rPr>
        <w:t xml:space="preserve"> of General Hospital Novi </w:t>
      </w:r>
      <w:proofErr w:type="spellStart"/>
      <w:r>
        <w:rPr>
          <w:bCs/>
          <w:szCs w:val="24"/>
          <w:lang w:eastAsia="sr-Cyrl-CS"/>
        </w:rPr>
        <w:t>Pazar</w:t>
      </w:r>
      <w:proofErr w:type="spellEnd"/>
      <w:r>
        <w:rPr>
          <w:bCs/>
          <w:szCs w:val="24"/>
          <w:lang w:eastAsia="sr-Cyrl-CS"/>
        </w:rPr>
        <w:t xml:space="preserve">, </w:t>
      </w:r>
      <w:proofErr w:type="spellStart"/>
      <w:r w:rsidRPr="00D704C7">
        <w:rPr>
          <w:bCs/>
          <w:szCs w:val="24"/>
          <w:lang w:eastAsia="sr-Cyrl-CS"/>
        </w:rPr>
        <w:t>Generala</w:t>
      </w:r>
      <w:proofErr w:type="spellEnd"/>
      <w:r w:rsidRPr="00D704C7">
        <w:rPr>
          <w:bCs/>
          <w:szCs w:val="24"/>
          <w:lang w:eastAsia="sr-Cyrl-CS"/>
        </w:rPr>
        <w:t xml:space="preserve"> </w:t>
      </w:r>
      <w:proofErr w:type="spellStart"/>
      <w:r w:rsidRPr="00D704C7">
        <w:rPr>
          <w:bCs/>
          <w:szCs w:val="24"/>
          <w:lang w:eastAsia="sr-Cyrl-CS"/>
        </w:rPr>
        <w:t>Živkovića</w:t>
      </w:r>
      <w:proofErr w:type="spellEnd"/>
      <w:r>
        <w:rPr>
          <w:bCs/>
          <w:szCs w:val="24"/>
          <w:lang w:eastAsia="sr-Cyrl-CS"/>
        </w:rPr>
        <w:t xml:space="preserve">, Novi </w:t>
      </w:r>
      <w:proofErr w:type="spellStart"/>
      <w:r>
        <w:rPr>
          <w:bCs/>
          <w:szCs w:val="24"/>
          <w:lang w:eastAsia="sr-Cyrl-CS"/>
        </w:rPr>
        <w:t>Pazar</w:t>
      </w:r>
      <w:proofErr w:type="spellEnd"/>
      <w:r>
        <w:rPr>
          <w:bCs/>
          <w:szCs w:val="24"/>
          <w:lang w:eastAsia="sr-Cyrl-CS"/>
        </w:rPr>
        <w:t xml:space="preserve">, </w:t>
      </w:r>
      <w:r w:rsidRPr="00D704C7">
        <w:rPr>
          <w:bCs/>
          <w:szCs w:val="24"/>
          <w:lang w:eastAsia="sr-Cyrl-CS"/>
        </w:rPr>
        <w:t>36300,</w:t>
      </w:r>
      <w:r>
        <w:rPr>
          <w:bCs/>
          <w:szCs w:val="24"/>
          <w:lang w:eastAsia="sr-Cyrl-CS"/>
        </w:rPr>
        <w:t xml:space="preserve"> </w:t>
      </w:r>
      <w:r w:rsidRPr="00D704C7">
        <w:rPr>
          <w:bCs/>
          <w:szCs w:val="24"/>
          <w:lang w:eastAsia="sr-Cyrl-CS"/>
        </w:rPr>
        <w:t xml:space="preserve">cadastral parcels 7216/8 КО </w:t>
      </w:r>
      <w:r>
        <w:rPr>
          <w:bCs/>
          <w:szCs w:val="24"/>
          <w:lang w:eastAsia="sr-Cyrl-CS"/>
        </w:rPr>
        <w:t xml:space="preserve">Novi </w:t>
      </w:r>
      <w:proofErr w:type="spellStart"/>
      <w:r>
        <w:rPr>
          <w:bCs/>
          <w:szCs w:val="24"/>
          <w:lang w:eastAsia="sr-Cyrl-CS"/>
        </w:rPr>
        <w:t>Pazar</w:t>
      </w:r>
      <w:proofErr w:type="spellEnd"/>
      <w:r w:rsidRPr="00D704C7">
        <w:rPr>
          <w:bCs/>
          <w:szCs w:val="24"/>
          <w:lang w:eastAsia="sr-Cyrl-CS"/>
        </w:rPr>
        <w:t>.</w:t>
      </w:r>
    </w:p>
    <w:p w:rsidR="00D704C7" w:rsidRPr="00D704C7" w:rsidRDefault="00D704C7" w:rsidP="00D704C7">
      <w:pPr>
        <w:widowControl w:val="0"/>
        <w:tabs>
          <w:tab w:val="left" w:pos="0"/>
          <w:tab w:val="left" w:pos="180"/>
        </w:tabs>
        <w:autoSpaceDE w:val="0"/>
        <w:autoSpaceDN w:val="0"/>
        <w:adjustRightInd w:val="0"/>
        <w:jc w:val="both"/>
        <w:rPr>
          <w:bCs/>
          <w:szCs w:val="24"/>
          <w:lang w:eastAsia="sr-Cyrl-CS"/>
        </w:rPr>
      </w:pPr>
    </w:p>
    <w:p w:rsidR="00A52AB3" w:rsidRPr="00214688" w:rsidRDefault="00A52AB3" w:rsidP="00A52AB3">
      <w:pPr>
        <w:pStyle w:val="nabrajanjebold"/>
        <w:numPr>
          <w:ilvl w:val="0"/>
          <w:numId w:val="2"/>
        </w:numPr>
        <w:rPr>
          <w:rFonts w:cs="Calibri-Bold"/>
          <w:sz w:val="21"/>
          <w:szCs w:val="21"/>
        </w:rPr>
      </w:pPr>
      <w:r w:rsidRPr="00214688">
        <w:t>Visit to the site for the execution of works and examination of the design documentation</w:t>
      </w:r>
    </w:p>
    <w:p w:rsidR="00A52AB3" w:rsidRPr="00214688" w:rsidRDefault="00A52AB3" w:rsidP="00A52AB3">
      <w:pPr>
        <w:autoSpaceDE w:val="0"/>
        <w:autoSpaceDN w:val="0"/>
        <w:adjustRightInd w:val="0"/>
        <w:ind w:firstLine="708"/>
        <w:jc w:val="both"/>
        <w:rPr>
          <w:rFonts w:eastAsia="Calibri-Bold"/>
          <w:szCs w:val="24"/>
        </w:rPr>
      </w:pPr>
      <w:r w:rsidRPr="00214688">
        <w:rPr>
          <w:szCs w:val="24"/>
        </w:rPr>
        <w:t>In order to ensure the conditions for the preparation of eligible bids, the Contracting Authority shall enable the visit to the site for the execution of works and examination of the project design documentation for the respective public procurement, but only after a prior request, submitted a day before the intended site visit, on the memorandum of the interested entity and containing the information about persons authorized to visit the site</w:t>
      </w:r>
      <w:r w:rsidRPr="00214688">
        <w:rPr>
          <w:rFonts w:eastAsia="Calibri-Bold"/>
          <w:szCs w:val="24"/>
        </w:rPr>
        <w:t xml:space="preserve">. </w:t>
      </w:r>
    </w:p>
    <w:p w:rsidR="00A52AB3" w:rsidRPr="00214688" w:rsidRDefault="00A52AB3" w:rsidP="00A52AB3">
      <w:pPr>
        <w:autoSpaceDE w:val="0"/>
        <w:autoSpaceDN w:val="0"/>
        <w:adjustRightInd w:val="0"/>
        <w:ind w:firstLine="708"/>
        <w:jc w:val="both"/>
        <w:rPr>
          <w:rFonts w:eastAsia="Calibri-Bold"/>
          <w:szCs w:val="24"/>
        </w:rPr>
      </w:pPr>
      <w:r w:rsidRPr="00214688">
        <w:rPr>
          <w:szCs w:val="24"/>
        </w:rPr>
        <w:t>Interested entities shall delivered the requests to the e-mail address of the Contracting Authority E-mail</w:t>
      </w:r>
      <w:r w:rsidR="00D704C7">
        <w:rPr>
          <w:szCs w:val="24"/>
        </w:rPr>
        <w:t xml:space="preserve"> (</w:t>
      </w:r>
      <w:hyperlink r:id="rId5" w:history="1">
        <w:r w:rsidR="00D704C7" w:rsidRPr="00A21C67">
          <w:rPr>
            <w:rStyle w:val="Hyperlink"/>
            <w:szCs w:val="24"/>
          </w:rPr>
          <w:t>javnenabavke@novipazar.org.rs</w:t>
        </w:r>
      </w:hyperlink>
      <w:r w:rsidR="00D704C7">
        <w:rPr>
          <w:szCs w:val="24"/>
        </w:rPr>
        <w:t xml:space="preserve">) </w:t>
      </w:r>
      <w:r w:rsidRPr="00214688">
        <w:rPr>
          <w:szCs w:val="24"/>
        </w:rPr>
        <w:t>, which must be received by the Contracting Authority two days before the expiry of the deadline for submission of bids at the latest. The site visit will not be possible on the day when the bid submission deadline expires</w:t>
      </w:r>
      <w:r w:rsidRPr="00214688">
        <w:rPr>
          <w:rFonts w:eastAsia="Calibri-Bold"/>
          <w:szCs w:val="24"/>
        </w:rPr>
        <w:t xml:space="preserve">. </w:t>
      </w:r>
    </w:p>
    <w:p w:rsidR="00A52AB3" w:rsidRPr="00214688" w:rsidRDefault="00A52AB3" w:rsidP="00A52AB3">
      <w:pPr>
        <w:autoSpaceDE w:val="0"/>
        <w:autoSpaceDN w:val="0"/>
        <w:adjustRightInd w:val="0"/>
        <w:ind w:firstLine="708"/>
        <w:rPr>
          <w:rFonts w:eastAsia="Calibri-Bold"/>
          <w:szCs w:val="24"/>
        </w:rPr>
      </w:pPr>
      <w:r w:rsidRPr="00214688">
        <w:rPr>
          <w:szCs w:val="24"/>
        </w:rPr>
        <w:t>Contact person</w:t>
      </w:r>
      <w:r w:rsidRPr="00214688">
        <w:rPr>
          <w:rFonts w:eastAsia="Calibri-Bold"/>
          <w:szCs w:val="24"/>
        </w:rPr>
        <w:t>:</w:t>
      </w:r>
      <w:r w:rsidR="00D704C7">
        <w:rPr>
          <w:rFonts w:eastAsia="Calibri-Bold"/>
          <w:szCs w:val="24"/>
        </w:rPr>
        <w:t xml:space="preserve"> </w:t>
      </w:r>
      <w:proofErr w:type="spellStart"/>
      <w:r w:rsidR="00D704C7">
        <w:rPr>
          <w:rFonts w:eastAsia="Calibri-Bold"/>
          <w:szCs w:val="24"/>
        </w:rPr>
        <w:t>Faruk</w:t>
      </w:r>
      <w:proofErr w:type="spellEnd"/>
      <w:r w:rsidR="00D704C7">
        <w:rPr>
          <w:rFonts w:eastAsia="Calibri-Bold"/>
          <w:szCs w:val="24"/>
        </w:rPr>
        <w:t xml:space="preserve"> </w:t>
      </w:r>
      <w:proofErr w:type="spellStart"/>
      <w:r w:rsidR="00D704C7">
        <w:rPr>
          <w:rFonts w:eastAsia="Calibri-Bold"/>
          <w:szCs w:val="24"/>
        </w:rPr>
        <w:t>Suljević</w:t>
      </w:r>
      <w:proofErr w:type="spellEnd"/>
      <w:r w:rsidR="00D704C7">
        <w:rPr>
          <w:rFonts w:eastAsia="Calibri-Bold"/>
          <w:szCs w:val="24"/>
        </w:rPr>
        <w:t xml:space="preserve">, </w:t>
      </w:r>
      <w:bookmarkStart w:id="1" w:name="Text23"/>
      <w:bookmarkEnd w:id="1"/>
      <w:r w:rsidRPr="00214688">
        <w:rPr>
          <w:rFonts w:eastAsia="Calibri-Bold"/>
          <w:szCs w:val="24"/>
        </w:rPr>
        <w:t>telephone number</w:t>
      </w:r>
      <w:r w:rsidR="00D704C7">
        <w:rPr>
          <w:rFonts w:eastAsia="Calibri-Bold"/>
          <w:szCs w:val="24"/>
        </w:rPr>
        <w:t xml:space="preserve"> </w:t>
      </w:r>
      <w:bookmarkStart w:id="2" w:name="_GoBack"/>
      <w:bookmarkEnd w:id="2"/>
      <w:r w:rsidR="00D704C7" w:rsidRPr="00D704C7">
        <w:rPr>
          <w:rFonts w:eastAsia="Calibri-Bold"/>
          <w:szCs w:val="24"/>
        </w:rPr>
        <w:t>0659011053</w:t>
      </w:r>
      <w:r w:rsidRPr="00214688">
        <w:rPr>
          <w:rFonts w:eastAsia="Calibri-Bold"/>
          <w:szCs w:val="24"/>
        </w:rPr>
        <w:t>.</w:t>
      </w:r>
    </w:p>
    <w:p w:rsidR="00A52AB3" w:rsidRDefault="00A52AB3" w:rsidP="00A52AB3">
      <w:pPr>
        <w:autoSpaceDE w:val="0"/>
        <w:autoSpaceDN w:val="0"/>
        <w:adjustRightInd w:val="0"/>
        <w:ind w:firstLine="708"/>
        <w:jc w:val="both"/>
        <w:rPr>
          <w:bCs/>
          <w:iCs/>
          <w:szCs w:val="24"/>
        </w:rPr>
      </w:pPr>
      <w:r w:rsidRPr="00214688">
        <w:rPr>
          <w:szCs w:val="24"/>
        </w:rPr>
        <w:t xml:space="preserve">The Bidder shall provide a statement on the </w:t>
      </w:r>
      <w:r w:rsidR="0032513E">
        <w:rPr>
          <w:szCs w:val="24"/>
        </w:rPr>
        <w:t xml:space="preserve">site </w:t>
      </w:r>
      <w:r w:rsidRPr="00214688">
        <w:rPr>
          <w:bCs/>
          <w:iCs/>
          <w:szCs w:val="24"/>
        </w:rPr>
        <w:t>visit and on performed examination of the project design documentation</w:t>
      </w:r>
      <w:r w:rsidR="003E6C6E">
        <w:rPr>
          <w:bCs/>
          <w:iCs/>
          <w:szCs w:val="24"/>
        </w:rPr>
        <w:t>.</w:t>
      </w:r>
    </w:p>
    <w:p w:rsidR="00B32E1A" w:rsidRDefault="00B32E1A"/>
    <w:sectPr w:rsidR="00B32E1A" w:rsidSect="002070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A145C"/>
    <w:multiLevelType w:val="hybridMultilevel"/>
    <w:tmpl w:val="B2B8EDA0"/>
    <w:lvl w:ilvl="0" w:tplc="17DCBF60">
      <w:start w:val="1"/>
      <w:numFmt w:val="decimal"/>
      <w:pStyle w:val="nabrajanjebold"/>
      <w:lvlText w:val="%1."/>
      <w:lvlJc w:val="left"/>
      <w:pPr>
        <w:ind w:left="107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nsid w:val="30DB09A7"/>
    <w:multiLevelType w:val="hybridMultilevel"/>
    <w:tmpl w:val="57C2286E"/>
    <w:lvl w:ilvl="0" w:tplc="1B8401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2AB3"/>
    <w:rsid w:val="001D41FF"/>
    <w:rsid w:val="0020706C"/>
    <w:rsid w:val="0032513E"/>
    <w:rsid w:val="003E6C6E"/>
    <w:rsid w:val="00A15FB8"/>
    <w:rsid w:val="00A52AB3"/>
    <w:rsid w:val="00B32E1A"/>
    <w:rsid w:val="00B84FEA"/>
    <w:rsid w:val="00D70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B3"/>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A52AB3"/>
    <w:pPr>
      <w:keepNext/>
      <w:pageBreakBefore/>
      <w:shd w:val="clear" w:color="auto" w:fill="C6D9F1"/>
      <w:spacing w:before="120" w:after="240"/>
      <w:jc w:val="center"/>
      <w:outlineLvl w:val="1"/>
    </w:pPr>
    <w:rPr>
      <w:b/>
      <w:bCs/>
      <w:i/>
      <w:iCs/>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2AB3"/>
    <w:rPr>
      <w:rFonts w:ascii="Times New Roman" w:eastAsia="Times New Roman" w:hAnsi="Times New Roman" w:cs="Times New Roman"/>
      <w:b/>
      <w:bCs/>
      <w:i/>
      <w:iCs/>
      <w:sz w:val="24"/>
      <w:szCs w:val="24"/>
      <w:shd w:val="clear" w:color="auto" w:fill="C6D9F1"/>
      <w:lang w:val="sr-Cyrl-CS"/>
    </w:rPr>
  </w:style>
  <w:style w:type="paragraph" w:customStyle="1" w:styleId="Default">
    <w:name w:val="Default"/>
    <w:link w:val="DefaultChar"/>
    <w:rsid w:val="00A52AB3"/>
    <w:pPr>
      <w:autoSpaceDE w:val="0"/>
      <w:autoSpaceDN w:val="0"/>
      <w:adjustRightInd w:val="0"/>
      <w:spacing w:after="0" w:line="240" w:lineRule="auto"/>
    </w:pPr>
    <w:rPr>
      <w:rFonts w:ascii="Arial" w:eastAsia="Times New Roman" w:hAnsi="Arial" w:cs="Times New Roman"/>
      <w:color w:val="000000"/>
      <w:sz w:val="24"/>
      <w:szCs w:val="24"/>
    </w:rPr>
  </w:style>
  <w:style w:type="character" w:customStyle="1" w:styleId="DefaultChar">
    <w:name w:val="Default Char"/>
    <w:link w:val="Default"/>
    <w:locked/>
    <w:rsid w:val="00A52AB3"/>
    <w:rPr>
      <w:rFonts w:ascii="Arial" w:eastAsia="Times New Roman" w:hAnsi="Arial" w:cs="Times New Roman"/>
      <w:color w:val="000000"/>
      <w:sz w:val="24"/>
      <w:szCs w:val="24"/>
    </w:rPr>
  </w:style>
  <w:style w:type="paragraph" w:customStyle="1" w:styleId="nabrajanjebold">
    <w:name w:val="nabrajanje bold"/>
    <w:basedOn w:val="Normal"/>
    <w:qFormat/>
    <w:rsid w:val="00A52AB3"/>
    <w:pPr>
      <w:numPr>
        <w:numId w:val="1"/>
      </w:numPr>
    </w:pPr>
    <w:rPr>
      <w:rFonts w:eastAsia="Calibri-Bold"/>
      <w:b/>
      <w:szCs w:val="24"/>
    </w:rPr>
  </w:style>
  <w:style w:type="character" w:styleId="Hyperlink">
    <w:name w:val="Hyperlink"/>
    <w:basedOn w:val="DefaultParagraphFont"/>
    <w:uiPriority w:val="99"/>
    <w:unhideWhenUsed/>
    <w:rsid w:val="00D704C7"/>
    <w:rPr>
      <w:color w:val="0563C1" w:themeColor="hyperlink"/>
      <w:u w:val="single"/>
    </w:rPr>
  </w:style>
  <w:style w:type="character" w:customStyle="1" w:styleId="UnresolvedMention">
    <w:name w:val="Unresolved Mention"/>
    <w:basedOn w:val="DefaultParagraphFont"/>
    <w:uiPriority w:val="99"/>
    <w:semiHidden/>
    <w:unhideWhenUsed/>
    <w:rsid w:val="00D704C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vnenabavke@novipazar.org.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Popović</dc:creator>
  <cp:lastModifiedBy>mirelat</cp:lastModifiedBy>
  <cp:revision>2</cp:revision>
  <dcterms:created xsi:type="dcterms:W3CDTF">2022-07-08T08:37:00Z</dcterms:created>
  <dcterms:modified xsi:type="dcterms:W3CDTF">2022-07-08T08:37:00Z</dcterms:modified>
</cp:coreProperties>
</file>