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20F8" w14:textId="1AD97D86" w:rsidR="00546D2B" w:rsidRPr="00263780" w:rsidRDefault="00546D2B" w:rsidP="00263780">
      <w:pPr>
        <w:suppressAutoHyphens w:val="0"/>
        <w:spacing w:after="200" w:line="276" w:lineRule="auto"/>
        <w:ind w:left="720" w:hanging="360"/>
        <w:jc w:val="center"/>
        <w:rPr>
          <w:b/>
          <w:bCs/>
          <w:sz w:val="22"/>
          <w:szCs w:val="22"/>
        </w:rPr>
      </w:pPr>
      <w:r w:rsidRPr="00263780">
        <w:rPr>
          <w:b/>
          <w:bCs/>
          <w:sz w:val="22"/>
          <w:szCs w:val="22"/>
        </w:rPr>
        <w:t>ТЕХНИЧКА СПЕЦИФИКАЦИЈА</w:t>
      </w:r>
    </w:p>
    <w:p w14:paraId="2DAC08EF" w14:textId="77777777" w:rsidR="00546D2B" w:rsidRPr="00263780" w:rsidRDefault="00546D2B" w:rsidP="00263780">
      <w:pPr>
        <w:suppressAutoHyphens w:val="0"/>
        <w:spacing w:after="200" w:line="276" w:lineRule="auto"/>
        <w:ind w:left="720"/>
        <w:jc w:val="both"/>
        <w:rPr>
          <w:rFonts w:eastAsia="Times New Roman"/>
          <w:b/>
          <w:color w:val="auto"/>
          <w:kern w:val="0"/>
          <w:sz w:val="22"/>
          <w:szCs w:val="22"/>
          <w:lang w:val="en-GB" w:eastAsia="en-US"/>
        </w:rPr>
      </w:pPr>
    </w:p>
    <w:p w14:paraId="1DBC21D0" w14:textId="22AEF9A6" w:rsidR="00546D2B" w:rsidRPr="00263780" w:rsidRDefault="00546D2B" w:rsidP="00263780">
      <w:pPr>
        <w:numPr>
          <w:ilvl w:val="0"/>
          <w:numId w:val="1"/>
        </w:numPr>
        <w:suppressAutoHyphens w:val="0"/>
        <w:spacing w:after="200" w:line="276" w:lineRule="auto"/>
        <w:jc w:val="both"/>
        <w:rPr>
          <w:rFonts w:eastAsia="Times New Roman"/>
          <w:b/>
          <w:color w:val="auto"/>
          <w:kern w:val="0"/>
          <w:sz w:val="22"/>
          <w:szCs w:val="22"/>
          <w:lang w:val="en-GB" w:eastAsia="en-US"/>
        </w:rPr>
      </w:pPr>
      <w:r w:rsidRPr="00263780">
        <w:rPr>
          <w:rFonts w:eastAsia="Times New Roman"/>
          <w:b/>
          <w:color w:val="auto"/>
          <w:kern w:val="0"/>
          <w:sz w:val="22"/>
          <w:szCs w:val="22"/>
          <w:lang w:val="en-GB" w:eastAsia="en-US"/>
        </w:rPr>
        <w:t xml:space="preserve">ВРСТА </w:t>
      </w:r>
      <w:r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УСЛУГЕ</w:t>
      </w:r>
    </w:p>
    <w:p w14:paraId="5569DFB5" w14:textId="1BADB5C0" w:rsidR="00546D2B" w:rsidRPr="00263780" w:rsidRDefault="00546D2B" w:rsidP="00263780">
      <w:pPr>
        <w:suppressAutoHyphens w:val="0"/>
        <w:spacing w:line="276" w:lineRule="auto"/>
        <w:ind w:firstLine="720"/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Calibri"/>
          <w:color w:val="auto"/>
          <w:kern w:val="0"/>
          <w:sz w:val="22"/>
          <w:szCs w:val="22"/>
          <w:lang w:val="ru-RU" w:eastAsia="en-US"/>
        </w:rPr>
        <w:t xml:space="preserve">Услуга </w:t>
      </w:r>
      <w:r w:rsidRPr="00263780">
        <w:rPr>
          <w:rFonts w:eastAsia="Calibri"/>
          <w:color w:val="auto"/>
          <w:kern w:val="0"/>
          <w:sz w:val="22"/>
          <w:szCs w:val="22"/>
          <w:lang w:eastAsia="en-US"/>
        </w:rPr>
        <w:t>„</w:t>
      </w:r>
      <w:r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Израда Студиј</w:t>
      </w:r>
      <w:r w:rsidR="007327B0"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а</w:t>
      </w:r>
      <w:r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7327B0"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 xml:space="preserve">за потребе утврђивања лучког подручја </w:t>
      </w:r>
      <w:r w:rsidR="00274C0B">
        <w:rPr>
          <w:rFonts w:eastAsia="Times New Roman"/>
          <w:b/>
          <w:color w:val="auto"/>
          <w:kern w:val="0"/>
          <w:sz w:val="22"/>
          <w:szCs w:val="22"/>
          <w:lang w:eastAsia="en-US"/>
        </w:rPr>
        <w:t xml:space="preserve">новог </w:t>
      </w:r>
      <w:r w:rsidR="007327B0"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 xml:space="preserve">међународног путничког пристаништа у </w:t>
      </w:r>
      <w:r w:rsidR="00274C0B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Београду</w:t>
      </w:r>
      <w:r w:rsidR="001650BB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,</w:t>
      </w:r>
      <w:r w:rsidR="001650BB" w:rsidRPr="001650BB">
        <w:rPr>
          <w:rFonts w:eastAsia="Calibri"/>
          <w:b/>
          <w:bCs/>
          <w:color w:val="auto"/>
          <w:kern w:val="0"/>
          <w:sz w:val="22"/>
          <w:szCs w:val="22"/>
          <w:lang w:eastAsia="en-US"/>
        </w:rPr>
        <w:t xml:space="preserve"> општина Сурчин</w:t>
      </w:r>
      <w:r w:rsidR="001650BB" w:rsidRPr="001650BB">
        <w:rPr>
          <w:rFonts w:eastAsia="Calibri"/>
          <w:b/>
          <w:bCs/>
          <w:color w:val="auto"/>
          <w:kern w:val="0"/>
          <w:sz w:val="22"/>
          <w:szCs w:val="22"/>
          <w:lang w:eastAsia="en-US"/>
        </w:rPr>
        <w:t>“</w:t>
      </w:r>
      <w:r w:rsidRPr="00263780">
        <w:rPr>
          <w:rFonts w:eastAsia="Calibri"/>
          <w:color w:val="auto"/>
          <w:kern w:val="0"/>
          <w:sz w:val="22"/>
          <w:szCs w:val="22"/>
          <w:lang w:eastAsia="en-US"/>
        </w:rPr>
        <w:t>.</w:t>
      </w:r>
    </w:p>
    <w:p w14:paraId="59B816F7" w14:textId="77777777" w:rsidR="00546D2B" w:rsidRPr="00263780" w:rsidRDefault="00546D2B" w:rsidP="00263780">
      <w:pPr>
        <w:suppressAutoHyphens w:val="0"/>
        <w:spacing w:line="276" w:lineRule="auto"/>
        <w:ind w:left="720"/>
        <w:jc w:val="both"/>
        <w:rPr>
          <w:rFonts w:eastAsia="Calibri"/>
          <w:color w:val="auto"/>
          <w:kern w:val="0"/>
          <w:sz w:val="22"/>
          <w:szCs w:val="22"/>
          <w:lang w:val="sr-Cyrl-CS" w:eastAsia="en-US"/>
        </w:rPr>
      </w:pPr>
    </w:p>
    <w:p w14:paraId="0655F75F" w14:textId="77777777" w:rsidR="00546D2B" w:rsidRPr="00263780" w:rsidRDefault="00546D2B" w:rsidP="00263780">
      <w:pPr>
        <w:numPr>
          <w:ilvl w:val="0"/>
          <w:numId w:val="1"/>
        </w:numPr>
        <w:suppressAutoHyphens w:val="0"/>
        <w:spacing w:after="200" w:line="276" w:lineRule="auto"/>
        <w:rPr>
          <w:rFonts w:eastAsia="Times New Roman"/>
          <w:b/>
          <w:color w:val="auto"/>
          <w:kern w:val="0"/>
          <w:sz w:val="22"/>
          <w:szCs w:val="22"/>
          <w:lang w:val="en-GB" w:eastAsia="en-US"/>
        </w:rPr>
      </w:pPr>
      <w:r w:rsidRPr="00263780">
        <w:rPr>
          <w:rFonts w:eastAsia="Times New Roman"/>
          <w:b/>
          <w:color w:val="auto"/>
          <w:kern w:val="0"/>
          <w:sz w:val="22"/>
          <w:szCs w:val="22"/>
          <w:lang w:eastAsia="en-US"/>
        </w:rPr>
        <w:t>УВОД</w:t>
      </w:r>
    </w:p>
    <w:p w14:paraId="3B311147" w14:textId="28D0BBE6" w:rsidR="00263780" w:rsidRPr="00263780" w:rsidRDefault="00E47A7A" w:rsidP="00263780">
      <w:pPr>
        <w:spacing w:line="276" w:lineRule="auto"/>
        <w:ind w:firstLine="709"/>
        <w:jc w:val="both"/>
        <w:rPr>
          <w:sz w:val="22"/>
          <w:szCs w:val="22"/>
        </w:rPr>
      </w:pPr>
      <w:r w:rsidRPr="00263780">
        <w:rPr>
          <w:sz w:val="22"/>
          <w:szCs w:val="22"/>
        </w:rPr>
        <w:t>Чланом 214а Закона о пловидби и лукама на унутрашњим водама (</w:t>
      </w:r>
      <w:r w:rsidR="00263780" w:rsidRPr="00263780">
        <w:rPr>
          <w:sz w:val="22"/>
          <w:szCs w:val="22"/>
        </w:rPr>
        <w:t xml:space="preserve">„Сл. Гласник РС“ бр. 73/10…52/21, </w:t>
      </w:r>
      <w:r w:rsidRPr="00263780">
        <w:rPr>
          <w:sz w:val="22"/>
          <w:szCs w:val="22"/>
        </w:rPr>
        <w:t xml:space="preserve">у даљем тексту ЗПЛУВ) прописана је израда </w:t>
      </w:r>
      <w:r w:rsidR="007327B0" w:rsidRPr="00263780">
        <w:rPr>
          <w:sz w:val="22"/>
          <w:szCs w:val="22"/>
        </w:rPr>
        <w:t xml:space="preserve">Студија за потребе утврђивања </w:t>
      </w:r>
      <w:r w:rsidR="00263780" w:rsidRPr="00263780">
        <w:rPr>
          <w:sz w:val="22"/>
          <w:szCs w:val="22"/>
        </w:rPr>
        <w:t xml:space="preserve">новог </w:t>
      </w:r>
      <w:r w:rsidR="007327B0" w:rsidRPr="00263780">
        <w:rPr>
          <w:sz w:val="22"/>
          <w:szCs w:val="22"/>
        </w:rPr>
        <w:t>лучког подручја</w:t>
      </w:r>
      <w:r w:rsidR="00263780" w:rsidRPr="00263780">
        <w:rPr>
          <w:sz w:val="22"/>
          <w:szCs w:val="22"/>
        </w:rPr>
        <w:t xml:space="preserve"> за сваку луку или пристаниште</w:t>
      </w:r>
      <w:r w:rsidR="00546D2B" w:rsidRPr="00263780">
        <w:rPr>
          <w:sz w:val="22"/>
          <w:szCs w:val="22"/>
        </w:rPr>
        <w:t xml:space="preserve">. </w:t>
      </w:r>
      <w:r w:rsidRPr="00263780">
        <w:rPr>
          <w:sz w:val="22"/>
          <w:szCs w:val="22"/>
        </w:rPr>
        <w:t>Стратегијом развоја водног саобраћаја Републике Србије од 2015. до 2025. године као и Стратегијом туризма Републике Србије</w:t>
      </w:r>
      <w:r w:rsidR="000C045C" w:rsidRPr="00263780">
        <w:rPr>
          <w:sz w:val="22"/>
          <w:szCs w:val="22"/>
        </w:rPr>
        <w:t xml:space="preserve"> </w:t>
      </w:r>
      <w:r w:rsidR="00801601" w:rsidRPr="00263780">
        <w:rPr>
          <w:sz w:val="22"/>
          <w:szCs w:val="22"/>
        </w:rPr>
        <w:t>у</w:t>
      </w:r>
      <w:r w:rsidR="000C045C" w:rsidRPr="00263780">
        <w:rPr>
          <w:sz w:val="22"/>
          <w:szCs w:val="22"/>
        </w:rPr>
        <w:t xml:space="preserve"> циљу унапређења туристичке понуде, одређ</w:t>
      </w:r>
      <w:r w:rsidR="00263780" w:rsidRPr="00263780">
        <w:rPr>
          <w:sz w:val="22"/>
          <w:szCs w:val="22"/>
        </w:rPr>
        <w:t>ена ј</w:t>
      </w:r>
      <w:r w:rsidR="000C045C" w:rsidRPr="00263780">
        <w:rPr>
          <w:sz w:val="22"/>
          <w:szCs w:val="22"/>
        </w:rPr>
        <w:t xml:space="preserve">е мрежа путничких пристаништа отворених за међународни саобраћај која обухвата и </w:t>
      </w:r>
      <w:r w:rsidR="00263780" w:rsidRPr="00263780">
        <w:rPr>
          <w:sz w:val="22"/>
          <w:szCs w:val="22"/>
        </w:rPr>
        <w:t xml:space="preserve">град </w:t>
      </w:r>
      <w:r w:rsidR="00274C0B">
        <w:rPr>
          <w:sz w:val="22"/>
          <w:szCs w:val="22"/>
        </w:rPr>
        <w:t>Београд</w:t>
      </w:r>
      <w:r w:rsidR="000C045C" w:rsidRPr="00263780">
        <w:rPr>
          <w:sz w:val="22"/>
          <w:szCs w:val="22"/>
        </w:rPr>
        <w:t>.</w:t>
      </w:r>
      <w:r w:rsidR="00C478B1" w:rsidRPr="00263780">
        <w:rPr>
          <w:sz w:val="22"/>
          <w:szCs w:val="22"/>
        </w:rPr>
        <w:t xml:space="preserve"> </w:t>
      </w:r>
    </w:p>
    <w:p w14:paraId="2AFFB1BC" w14:textId="21962E35" w:rsidR="00546D2B" w:rsidRPr="00263780" w:rsidRDefault="00546D2B" w:rsidP="00263780">
      <w:pPr>
        <w:spacing w:line="276" w:lineRule="auto"/>
        <w:ind w:firstLine="709"/>
        <w:jc w:val="both"/>
        <w:rPr>
          <w:sz w:val="22"/>
          <w:szCs w:val="22"/>
        </w:rPr>
      </w:pPr>
      <w:r w:rsidRPr="00263780">
        <w:rPr>
          <w:sz w:val="22"/>
          <w:szCs w:val="22"/>
        </w:rPr>
        <w:t>Сходно надлежностима Агенције</w:t>
      </w:r>
      <w:r w:rsidR="007327B0" w:rsidRPr="00263780">
        <w:rPr>
          <w:sz w:val="22"/>
          <w:szCs w:val="22"/>
        </w:rPr>
        <w:t xml:space="preserve"> за управљање лукама</w:t>
      </w:r>
      <w:r w:rsidRPr="00263780">
        <w:rPr>
          <w:sz w:val="22"/>
          <w:szCs w:val="22"/>
        </w:rPr>
        <w:t xml:space="preserve"> (у даљем тексту: Агенција), предмет ове набавке </w:t>
      </w:r>
      <w:r w:rsidR="00E47A7A" w:rsidRPr="00263780">
        <w:rPr>
          <w:sz w:val="22"/>
          <w:szCs w:val="22"/>
        </w:rPr>
        <w:t>су</w:t>
      </w:r>
      <w:r w:rsidRPr="00263780">
        <w:rPr>
          <w:sz w:val="22"/>
          <w:szCs w:val="22"/>
        </w:rPr>
        <w:t xml:space="preserve"> </w:t>
      </w:r>
      <w:r w:rsidR="007327B0" w:rsidRPr="00263780">
        <w:rPr>
          <w:sz w:val="22"/>
          <w:szCs w:val="22"/>
        </w:rPr>
        <w:t>Претходна анализа основних фактора, Студија локације и Економско-финансијска анализа оправданости проглашења лучког подручја</w:t>
      </w:r>
      <w:r w:rsidR="00E47A7A" w:rsidRPr="00263780">
        <w:rPr>
          <w:sz w:val="22"/>
          <w:szCs w:val="22"/>
        </w:rPr>
        <w:t xml:space="preserve"> </w:t>
      </w:r>
      <w:r w:rsidR="00274C0B">
        <w:rPr>
          <w:sz w:val="22"/>
          <w:szCs w:val="22"/>
        </w:rPr>
        <w:t xml:space="preserve">новог </w:t>
      </w:r>
      <w:r w:rsidR="00E47A7A" w:rsidRPr="00263780">
        <w:rPr>
          <w:sz w:val="22"/>
          <w:szCs w:val="22"/>
        </w:rPr>
        <w:t xml:space="preserve">међународног путничког пристаништа у </w:t>
      </w:r>
      <w:r w:rsidR="00274C0B">
        <w:rPr>
          <w:sz w:val="22"/>
          <w:szCs w:val="22"/>
        </w:rPr>
        <w:t>Београду</w:t>
      </w:r>
      <w:r w:rsidR="007965F1">
        <w:rPr>
          <w:sz w:val="22"/>
          <w:szCs w:val="22"/>
          <w:lang w:val="en-GB"/>
        </w:rPr>
        <w:t xml:space="preserve">, </w:t>
      </w:r>
      <w:r w:rsidR="007965F1">
        <w:rPr>
          <w:sz w:val="22"/>
          <w:szCs w:val="22"/>
        </w:rPr>
        <w:t>општина Сурчин</w:t>
      </w:r>
      <w:r w:rsidRPr="00263780">
        <w:rPr>
          <w:sz w:val="22"/>
          <w:szCs w:val="22"/>
        </w:rPr>
        <w:t>.</w:t>
      </w:r>
    </w:p>
    <w:p w14:paraId="2E5231F2" w14:textId="77777777" w:rsidR="00546D2B" w:rsidRPr="00263780" w:rsidRDefault="00546D2B" w:rsidP="00263780">
      <w:pPr>
        <w:spacing w:line="276" w:lineRule="auto"/>
        <w:jc w:val="both"/>
        <w:rPr>
          <w:sz w:val="22"/>
          <w:szCs w:val="22"/>
        </w:rPr>
      </w:pPr>
    </w:p>
    <w:p w14:paraId="2252D0AE" w14:textId="77777777" w:rsidR="00546D2B" w:rsidRPr="00263780" w:rsidRDefault="00546D2B" w:rsidP="00263780">
      <w:pPr>
        <w:pStyle w:val="ListParagraph"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ПРОЈЕКТНИ ЗАДАТАК</w:t>
      </w:r>
    </w:p>
    <w:p w14:paraId="03866976" w14:textId="64AE28B5" w:rsidR="00546D2B" w:rsidRPr="00263780" w:rsidRDefault="00C478B1" w:rsidP="00263780">
      <w:pPr>
        <w:suppressAutoHyphens w:val="0"/>
        <w:spacing w:after="200" w:line="276" w:lineRule="auto"/>
        <w:ind w:firstLine="709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Студија за потребе утврђивања лучког подручја међународног путничког пристаништа у </w:t>
      </w:r>
      <w:r w:rsidR="007965F1">
        <w:rPr>
          <w:sz w:val="22"/>
          <w:szCs w:val="22"/>
        </w:rPr>
        <w:t>општина Сурчин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у складу са чланом 214</w:t>
      </w:r>
      <w:r w:rsidR="00820A2C">
        <w:rPr>
          <w:rFonts w:eastAsia="Times New Roman"/>
          <w:color w:val="auto"/>
          <w:kern w:val="0"/>
          <w:sz w:val="22"/>
          <w:szCs w:val="22"/>
          <w:lang w:eastAsia="en-US"/>
        </w:rPr>
        <w:t>в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ЗПЛУВ</w:t>
      </w:r>
      <w:r w:rsidR="00820A2C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, треба </w:t>
      </w:r>
      <w:r w:rsidR="00546D2B"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да обухвата:</w:t>
      </w:r>
    </w:p>
    <w:p w14:paraId="568892CE" w14:textId="7B6DAB28" w:rsidR="00546D2B" w:rsidRPr="00263780" w:rsidRDefault="00C478B1" w:rsidP="00263780">
      <w:pPr>
        <w:pStyle w:val="ListParagraph"/>
        <w:numPr>
          <w:ilvl w:val="1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Претходн</w:t>
      </w:r>
      <w:r w:rsidR="00074085"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у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анализ</w:t>
      </w:r>
      <w:r w:rsidR="00074085"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у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основних фактора који утичу на оправданост проглашења лучког подручја </w:t>
      </w:r>
      <w:r w:rsidR="00274C0B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новог 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међународног путничког пристаништа у</w:t>
      </w:r>
      <w:r w:rsidR="00074085"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274C0B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Београд</w:t>
      </w:r>
      <w:r w:rsidR="00074085"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у</w:t>
      </w:r>
      <w:r w:rsidR="00074085" w:rsidRPr="00406A3D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,</w:t>
      </w:r>
      <w:r w:rsidR="00406A3D" w:rsidRPr="00406A3D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општина Сурчин</w:t>
      </w:r>
      <w:r w:rsidR="00074085"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која нарочито мора да садржи:</w:t>
      </w:r>
    </w:p>
    <w:p w14:paraId="00CF6509" w14:textId="77777777" w:rsidR="00074085" w:rsidRPr="00263780" w:rsidRDefault="00074085" w:rsidP="00263780">
      <w:pPr>
        <w:pStyle w:val="ListParagraph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анализу потребног промета путничких бродова, односно путника који оправдавају изградњу путничког пристаништа;</w:t>
      </w:r>
    </w:p>
    <w:p w14:paraId="02A66263" w14:textId="77777777" w:rsidR="00074085" w:rsidRPr="00263780" w:rsidRDefault="00074085" w:rsidP="00263780">
      <w:pPr>
        <w:pStyle w:val="ListParagraph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варијантна решења лучког подручја;</w:t>
      </w:r>
    </w:p>
    <w:p w14:paraId="2DB0123E" w14:textId="6E771368" w:rsidR="00546D2B" w:rsidRPr="00263780" w:rsidRDefault="00074085" w:rsidP="00263780">
      <w:pPr>
        <w:pStyle w:val="ListParagraph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врсте лучких делатности и потребне лучке инфраструктуре и супраструктуре за које се планира давање одобрења</w:t>
      </w:r>
      <w:r w:rsidR="00546D2B"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;</w:t>
      </w:r>
    </w:p>
    <w:p w14:paraId="3312ACAC" w14:textId="404002A0" w:rsidR="00074085" w:rsidRPr="00263780" w:rsidRDefault="00074085" w:rsidP="00263780">
      <w:pPr>
        <w:pStyle w:val="ListParagraph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анализу постојеће и потребне друмске и железничке инфраструктуре која ће омогућити несметано обављање лучке делатности и начин обезбеђивања ове инфраструктуре;</w:t>
      </w:r>
    </w:p>
    <w:p w14:paraId="72B19022" w14:textId="40FBF685" w:rsidR="00074085" w:rsidRPr="00263780" w:rsidRDefault="00074085" w:rsidP="00263780">
      <w:pPr>
        <w:pStyle w:val="ListParagraph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процену утицаја на животну средину.</w:t>
      </w:r>
    </w:p>
    <w:p w14:paraId="56B88F57" w14:textId="248F85AC" w:rsidR="00546D2B" w:rsidRPr="00263780" w:rsidRDefault="00074085" w:rsidP="00263780">
      <w:pPr>
        <w:pStyle w:val="ListParagraph"/>
        <w:numPr>
          <w:ilvl w:val="1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b/>
          <w:bCs/>
          <w:sz w:val="22"/>
          <w:szCs w:val="22"/>
        </w:rPr>
        <w:t>Студију локације</w:t>
      </w:r>
      <w:r w:rsidRPr="00263780">
        <w:rPr>
          <w:sz w:val="22"/>
          <w:szCs w:val="22"/>
        </w:rPr>
        <w:t xml:space="preserve"> која мора да садржи</w:t>
      </w:r>
      <w:r w:rsidR="00546D2B" w:rsidRPr="00263780">
        <w:rPr>
          <w:sz w:val="22"/>
          <w:szCs w:val="22"/>
        </w:rPr>
        <w:t>:</w:t>
      </w:r>
    </w:p>
    <w:p w14:paraId="015FED01" w14:textId="545270C6" w:rsidR="00546D2B" w:rsidRPr="00263780" w:rsidRDefault="00074085" w:rsidP="00263780">
      <w:pPr>
        <w:pStyle w:val="ListParagraph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анализу постојећих и прогнозу токова путника и броја пристајања путничких бродова у пристаништу за коју се ради студија;</w:t>
      </w:r>
    </w:p>
    <w:p w14:paraId="79BD3FCE" w14:textId="145A100D" w:rsidR="00074085" w:rsidRPr="00263780" w:rsidRDefault="00074085" w:rsidP="00263780">
      <w:pPr>
        <w:pStyle w:val="ListParagraph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просторну оправданост за варијантна решења лучког подручја из претходне анализе основних фактора;</w:t>
      </w:r>
    </w:p>
    <w:p w14:paraId="5E267B24" w14:textId="51300AF4" w:rsidR="00074085" w:rsidRPr="00263780" w:rsidRDefault="00074085" w:rsidP="00263780">
      <w:pPr>
        <w:pStyle w:val="ListParagraph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планирани начин коришћења земљишта у саставу планираног лучког подручја;</w:t>
      </w:r>
    </w:p>
    <w:p w14:paraId="3B212129" w14:textId="7666DD6F" w:rsidR="00074085" w:rsidRPr="00263780" w:rsidRDefault="00074085" w:rsidP="00263780">
      <w:pPr>
        <w:pStyle w:val="ListParagraph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геолошке-геотехничке карактеристике терена са аспекта утврђивања оправданости изградње новог пристаништа.</w:t>
      </w:r>
    </w:p>
    <w:p w14:paraId="5813DE28" w14:textId="7025BBF4" w:rsidR="00546D2B" w:rsidRPr="00263780" w:rsidRDefault="00074085" w:rsidP="00263780">
      <w:pPr>
        <w:pStyle w:val="ListParagraph"/>
        <w:numPr>
          <w:ilvl w:val="1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lastRenderedPageBreak/>
        <w:t xml:space="preserve">Економско-финансијска анализа оправданости проглашења лучког подручја </w:t>
      </w:r>
      <w:r w:rsidR="00274C0B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новог 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међународног путничког пристаништа у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</w:t>
      </w:r>
      <w:r w:rsidR="00274C0B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Београд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у,</w:t>
      </w:r>
      <w:r w:rsidR="00406A3D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општина Сурчин</w:t>
      </w: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која нарочито мора да садржи</w:t>
      </w:r>
      <w:r w:rsidR="00546D2B" w:rsidRPr="00263780">
        <w:rPr>
          <w:rFonts w:eastAsia="Times New Roman"/>
          <w:b/>
          <w:bCs/>
          <w:color w:val="auto"/>
          <w:kern w:val="0"/>
          <w:sz w:val="22"/>
          <w:szCs w:val="22"/>
          <w:lang w:eastAsia="en-US"/>
        </w:rPr>
        <w:t>:</w:t>
      </w:r>
    </w:p>
    <w:p w14:paraId="0D3E977A" w14:textId="014AB763" w:rsidR="00546D2B" w:rsidRPr="00263780" w:rsidRDefault="00546D2B" w:rsidP="00263780">
      <w:pPr>
        <w:pStyle w:val="ListParagraph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Анализа </w:t>
      </w:r>
      <w:r w:rsidR="00074085"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трошкова и користи (cost-benefit анализу);</w:t>
      </w:r>
    </w:p>
    <w:p w14:paraId="3545D453" w14:textId="1D61FD78" w:rsidR="00546D2B" w:rsidRPr="00263780" w:rsidRDefault="00074085" w:rsidP="00263780">
      <w:pPr>
        <w:pStyle w:val="ListParagraph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економску, односно тржишну оправданост за изградњу пристаништа</w:t>
      </w:r>
      <w:r w:rsidR="00546D2B"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;</w:t>
      </w:r>
    </w:p>
    <w:p w14:paraId="52EF460C" w14:textId="524A7D8E" w:rsidR="00546D2B" w:rsidRPr="00263780" w:rsidRDefault="00074085" w:rsidP="00263780">
      <w:pPr>
        <w:pStyle w:val="ListParagraph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процену очекиваних привредних и социјалних користи од изградње међународног путничког пристаништа као и могуће комерцијалне ризике;</w:t>
      </w:r>
    </w:p>
    <w:p w14:paraId="0EBFA03C" w14:textId="31528901" w:rsidR="006F3EBB" w:rsidRPr="00263780" w:rsidRDefault="006F3EBB" w:rsidP="00263780">
      <w:pPr>
        <w:pStyle w:val="ListParagraph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lang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планиране износе трошкова и предлоге начина финансирања изградње и развоја пристаништа.</w:t>
      </w:r>
    </w:p>
    <w:p w14:paraId="76996EF0" w14:textId="75E12D9A" w:rsidR="00546D2B" w:rsidRPr="00263780" w:rsidRDefault="006F3EBB" w:rsidP="00263780">
      <w:pPr>
        <w:suppressAutoHyphens w:val="0"/>
        <w:spacing w:line="276" w:lineRule="auto"/>
        <w:ind w:firstLine="709"/>
        <w:contextualSpacing/>
        <w:jc w:val="both"/>
        <w:rPr>
          <w:rFonts w:eastAsia="Times New Roman"/>
          <w:color w:val="auto"/>
          <w:kern w:val="0"/>
          <w:sz w:val="22"/>
          <w:szCs w:val="22"/>
          <w:lang w:val="en-GB"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val="en-GB" w:eastAsia="en-US"/>
        </w:rPr>
        <w:t>Наведена документа усклађују се са документима просторног и урбанистичког планирања и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63780">
        <w:rPr>
          <w:rFonts w:eastAsia="Times New Roman"/>
          <w:color w:val="auto"/>
          <w:kern w:val="0"/>
          <w:sz w:val="22"/>
          <w:szCs w:val="22"/>
          <w:lang w:val="en-GB" w:eastAsia="en-US"/>
        </w:rPr>
        <w:t>плановима управљања водним режимом за предметну локацију.</w:t>
      </w:r>
    </w:p>
    <w:p w14:paraId="56AD33E1" w14:textId="77777777" w:rsidR="006F3EBB" w:rsidRPr="00263780" w:rsidRDefault="006F3EBB" w:rsidP="00263780">
      <w:pPr>
        <w:suppressAutoHyphens w:val="0"/>
        <w:spacing w:line="276" w:lineRule="auto"/>
        <w:contextualSpacing/>
        <w:jc w:val="both"/>
        <w:rPr>
          <w:rFonts w:eastAsia="Times New Roman"/>
          <w:color w:val="auto"/>
          <w:kern w:val="0"/>
          <w:sz w:val="22"/>
          <w:szCs w:val="22"/>
          <w:highlight w:val="yellow"/>
          <w:lang w:val="en-GB" w:eastAsia="en-US"/>
        </w:rPr>
      </w:pPr>
    </w:p>
    <w:p w14:paraId="7741E6A5" w14:textId="77777777" w:rsidR="00546D2B" w:rsidRPr="00263780" w:rsidRDefault="00546D2B" w:rsidP="00263780">
      <w:pPr>
        <w:numPr>
          <w:ilvl w:val="0"/>
          <w:numId w:val="1"/>
        </w:numPr>
        <w:suppressAutoHyphens w:val="0"/>
        <w:spacing w:line="276" w:lineRule="auto"/>
        <w:rPr>
          <w:rFonts w:eastAsia="Times New Roman"/>
          <w:b/>
          <w:color w:val="auto"/>
          <w:kern w:val="0"/>
          <w:sz w:val="22"/>
          <w:szCs w:val="22"/>
          <w:lang w:val="sr-Latn-CS" w:eastAsia="en-US"/>
        </w:rPr>
      </w:pPr>
      <w:r w:rsidRPr="00263780">
        <w:rPr>
          <w:rFonts w:eastAsia="Times New Roman"/>
          <w:b/>
          <w:bCs/>
          <w:color w:val="auto"/>
          <w:kern w:val="0"/>
          <w:sz w:val="22"/>
          <w:szCs w:val="22"/>
          <w:lang w:val="sr-Cyrl-CS" w:eastAsia="en-US"/>
        </w:rPr>
        <w:t>РОК И МЕСТО ИЗВРШЕЊА УСЛУГЕ</w:t>
      </w:r>
    </w:p>
    <w:p w14:paraId="363A32B7" w14:textId="6BE78820" w:rsidR="00546D2B" w:rsidRPr="00263780" w:rsidRDefault="00546D2B" w:rsidP="00263780">
      <w:pPr>
        <w:numPr>
          <w:ilvl w:val="1"/>
          <w:numId w:val="1"/>
        </w:numPr>
        <w:suppressAutoHyphens w:val="0"/>
        <w:spacing w:after="200" w:line="276" w:lineRule="auto"/>
        <w:rPr>
          <w:rFonts w:eastAsia="Times New Roman"/>
          <w:color w:val="auto"/>
          <w:kern w:val="0"/>
          <w:sz w:val="22"/>
          <w:szCs w:val="22"/>
          <w:lang w:val="hr-HR"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Рок</w:t>
      </w:r>
      <w:r w:rsidRPr="00263780">
        <w:rPr>
          <w:rFonts w:eastAsia="Times New Roman"/>
          <w:color w:val="auto"/>
          <w:kern w:val="0"/>
          <w:sz w:val="22"/>
          <w:szCs w:val="22"/>
          <w:lang w:val="hr-HR" w:eastAsia="en-US"/>
        </w:rPr>
        <w:t xml:space="preserve"> за реализацију услуге је </w:t>
      </w:r>
      <w:r w:rsidR="00274C0B">
        <w:rPr>
          <w:rFonts w:eastAsia="Times New Roman"/>
          <w:color w:val="auto"/>
          <w:kern w:val="0"/>
          <w:sz w:val="22"/>
          <w:szCs w:val="22"/>
          <w:lang w:eastAsia="en-US"/>
        </w:rPr>
        <w:t>60</w:t>
      </w:r>
      <w:r w:rsidR="00263780">
        <w:rPr>
          <w:rFonts w:eastAsia="Times New Roman"/>
          <w:color w:val="auto"/>
          <w:kern w:val="0"/>
          <w:sz w:val="22"/>
          <w:szCs w:val="22"/>
          <w:lang w:eastAsia="en-US"/>
        </w:rPr>
        <w:t xml:space="preserve"> (</w:t>
      </w:r>
      <w:r w:rsidR="00274C0B">
        <w:rPr>
          <w:rFonts w:eastAsia="Times New Roman"/>
          <w:color w:val="auto"/>
          <w:kern w:val="0"/>
          <w:sz w:val="22"/>
          <w:szCs w:val="22"/>
          <w:lang w:eastAsia="en-US"/>
        </w:rPr>
        <w:t>шездесет</w:t>
      </w:r>
      <w:r w:rsidR="00263780">
        <w:rPr>
          <w:rFonts w:eastAsia="Times New Roman"/>
          <w:color w:val="auto"/>
          <w:kern w:val="0"/>
          <w:sz w:val="22"/>
          <w:szCs w:val="22"/>
          <w:lang w:eastAsia="en-US"/>
        </w:rPr>
        <w:t>)</w:t>
      </w:r>
      <w:r w:rsidRPr="00263780">
        <w:rPr>
          <w:rFonts w:eastAsia="Times New Roman"/>
          <w:color w:val="auto"/>
          <w:kern w:val="0"/>
          <w:sz w:val="22"/>
          <w:szCs w:val="22"/>
          <w:lang w:val="hr-HR" w:eastAsia="en-US"/>
        </w:rPr>
        <w:t xml:space="preserve"> </w:t>
      </w:r>
      <w:r w:rsidR="00274C0B">
        <w:rPr>
          <w:rFonts w:eastAsia="Times New Roman"/>
          <w:color w:val="auto"/>
          <w:kern w:val="0"/>
          <w:sz w:val="22"/>
          <w:szCs w:val="22"/>
          <w:lang w:eastAsia="en-US"/>
        </w:rPr>
        <w:t>дана</w:t>
      </w:r>
      <w:r w:rsidRPr="00263780">
        <w:rPr>
          <w:rFonts w:eastAsia="Times New Roman"/>
          <w:color w:val="auto"/>
          <w:kern w:val="0"/>
          <w:sz w:val="22"/>
          <w:szCs w:val="22"/>
          <w:lang w:val="hr-HR" w:eastAsia="en-US"/>
        </w:rPr>
        <w:t xml:space="preserve"> од 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дана</w:t>
      </w:r>
      <w:r w:rsidRPr="00263780">
        <w:rPr>
          <w:rFonts w:eastAsia="Times New Roman"/>
          <w:color w:val="auto"/>
          <w:kern w:val="0"/>
          <w:sz w:val="22"/>
          <w:szCs w:val="22"/>
          <w:lang w:val="hr-HR" w:eastAsia="en-US"/>
        </w:rPr>
        <w:t xml:space="preserve"> потписивања уговора.</w:t>
      </w:r>
    </w:p>
    <w:p w14:paraId="71B86A2C" w14:textId="77777777" w:rsidR="00546D2B" w:rsidRPr="00263780" w:rsidRDefault="00546D2B" w:rsidP="00263780">
      <w:pPr>
        <w:numPr>
          <w:ilvl w:val="1"/>
          <w:numId w:val="1"/>
        </w:numPr>
        <w:suppressAutoHyphens w:val="0"/>
        <w:spacing w:after="200" w:line="276" w:lineRule="auto"/>
        <w:rPr>
          <w:rFonts w:eastAsia="Times New Roman"/>
          <w:color w:val="auto"/>
          <w:kern w:val="0"/>
          <w:sz w:val="22"/>
          <w:szCs w:val="22"/>
          <w:lang w:val="hr-HR"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val="hr-HR" w:eastAsia="en-US"/>
        </w:rPr>
        <w:t>Формат/количина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:</w:t>
      </w:r>
    </w:p>
    <w:p w14:paraId="4ACE1611" w14:textId="77777777" w:rsidR="00546D2B" w:rsidRPr="00263780" w:rsidRDefault="00546D2B" w:rsidP="00263780">
      <w:pPr>
        <w:suppressAutoHyphens w:val="0"/>
        <w:spacing w:after="200" w:line="276" w:lineRule="auto"/>
        <w:ind w:firstLine="709"/>
        <w:jc w:val="both"/>
        <w:rPr>
          <w:rFonts w:eastAsia="Times New Roman"/>
          <w:color w:val="auto"/>
          <w:kern w:val="0"/>
          <w:sz w:val="22"/>
          <w:szCs w:val="22"/>
          <w:lang w:val="hr-HR" w:eastAsia="en-US"/>
        </w:rPr>
      </w:pP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Понуђач је дужан да Студију и све пратеће анализе достави у три штампана примерка, у изворном електронском облику (</w:t>
      </w:r>
      <w:r w:rsidRPr="00263780">
        <w:rPr>
          <w:rFonts w:eastAsia="Times New Roman"/>
          <w:color w:val="auto"/>
          <w:kern w:val="0"/>
          <w:sz w:val="22"/>
          <w:szCs w:val="22"/>
          <w:lang w:val="sr-Latn-RS" w:eastAsia="en-US"/>
        </w:rPr>
        <w:t xml:space="preserve">Word, Excel, Microsoft Powerpoint </w:t>
      </w:r>
      <w:r w:rsidRPr="00263780">
        <w:rPr>
          <w:rFonts w:eastAsia="Times New Roman"/>
          <w:color w:val="auto"/>
          <w:kern w:val="0"/>
          <w:sz w:val="22"/>
          <w:szCs w:val="22"/>
          <w:lang w:eastAsia="en-US"/>
        </w:rPr>
        <w:t>и слично) и у електронском ПДФ формату.</w:t>
      </w:r>
    </w:p>
    <w:p w14:paraId="6D5C31C5" w14:textId="77777777" w:rsidR="00CB57BF" w:rsidRDefault="00CB57BF"/>
    <w:sectPr w:rsidR="00CB5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7F3F"/>
    <w:multiLevelType w:val="hybridMultilevel"/>
    <w:tmpl w:val="E8DAB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746E88"/>
    <w:multiLevelType w:val="hybridMultilevel"/>
    <w:tmpl w:val="5A7E08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BF73CA"/>
    <w:multiLevelType w:val="hybridMultilevel"/>
    <w:tmpl w:val="A80C7B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9BF"/>
    <w:multiLevelType w:val="hybridMultilevel"/>
    <w:tmpl w:val="D59A00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8B10E4"/>
    <w:multiLevelType w:val="hybridMultilevel"/>
    <w:tmpl w:val="742677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66566B"/>
    <w:multiLevelType w:val="hybridMultilevel"/>
    <w:tmpl w:val="14C673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8F5736"/>
    <w:multiLevelType w:val="hybridMultilevel"/>
    <w:tmpl w:val="0CE03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B57C0C"/>
    <w:multiLevelType w:val="hybridMultilevel"/>
    <w:tmpl w:val="57607F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483985"/>
    <w:multiLevelType w:val="multilevel"/>
    <w:tmpl w:val="960CC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22731167">
    <w:abstractNumId w:val="8"/>
  </w:num>
  <w:num w:numId="2" w16cid:durableId="1168473471">
    <w:abstractNumId w:val="5"/>
  </w:num>
  <w:num w:numId="3" w16cid:durableId="699938548">
    <w:abstractNumId w:val="2"/>
  </w:num>
  <w:num w:numId="4" w16cid:durableId="1091122515">
    <w:abstractNumId w:val="4"/>
  </w:num>
  <w:num w:numId="5" w16cid:durableId="1968274937">
    <w:abstractNumId w:val="1"/>
  </w:num>
  <w:num w:numId="6" w16cid:durableId="2045252163">
    <w:abstractNumId w:val="3"/>
  </w:num>
  <w:num w:numId="7" w16cid:durableId="1747991242">
    <w:abstractNumId w:val="7"/>
  </w:num>
  <w:num w:numId="8" w16cid:durableId="772870497">
    <w:abstractNumId w:val="6"/>
  </w:num>
  <w:num w:numId="9" w16cid:durableId="23582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EA"/>
    <w:rsid w:val="00074085"/>
    <w:rsid w:val="000C045C"/>
    <w:rsid w:val="001650BB"/>
    <w:rsid w:val="0018742F"/>
    <w:rsid w:val="00263780"/>
    <w:rsid w:val="00274C0B"/>
    <w:rsid w:val="002F1DE7"/>
    <w:rsid w:val="003F2389"/>
    <w:rsid w:val="00406A3D"/>
    <w:rsid w:val="00462B18"/>
    <w:rsid w:val="00546D2B"/>
    <w:rsid w:val="005F5023"/>
    <w:rsid w:val="006E6E7F"/>
    <w:rsid w:val="006F3EBB"/>
    <w:rsid w:val="007327B0"/>
    <w:rsid w:val="007965F1"/>
    <w:rsid w:val="00801601"/>
    <w:rsid w:val="00820A2C"/>
    <w:rsid w:val="00B0187E"/>
    <w:rsid w:val="00BF002C"/>
    <w:rsid w:val="00C478B1"/>
    <w:rsid w:val="00CB57BF"/>
    <w:rsid w:val="00E47A7A"/>
    <w:rsid w:val="00E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832C4"/>
  <w15:chartTrackingRefBased/>
  <w15:docId w15:val="{6F638CE2-1D67-4254-B184-72A5C0BD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2B"/>
    <w:pPr>
      <w:suppressAutoHyphens/>
      <w:spacing w:after="0" w:line="100" w:lineRule="atLeast"/>
    </w:pPr>
    <w:rPr>
      <w:rFonts w:ascii="Times New Roman" w:eastAsia="Arial Unicode MS" w:hAnsi="Times New Roman" w:cs="Times New Roman"/>
      <w:noProof/>
      <w:color w:val="000000"/>
      <w:kern w:val="1"/>
      <w:sz w:val="24"/>
      <w:szCs w:val="24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D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Pavlović</dc:creator>
  <cp:keywords/>
  <dc:description/>
  <cp:lastModifiedBy>Živana Luković</cp:lastModifiedBy>
  <cp:revision>10</cp:revision>
  <dcterms:created xsi:type="dcterms:W3CDTF">2021-08-31T12:23:00Z</dcterms:created>
  <dcterms:modified xsi:type="dcterms:W3CDTF">2025-05-08T10:31:00Z</dcterms:modified>
</cp:coreProperties>
</file>