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7ADD" w14:textId="77777777" w:rsidR="00E2070A" w:rsidRDefault="00E2070A" w:rsidP="002E26FA">
      <w:pPr>
        <w:pStyle w:val="ListParagraph"/>
        <w:spacing w:after="100" w:afterAutospacing="1"/>
        <w:ind w:left="0"/>
        <w:rPr>
          <w:sz w:val="24"/>
          <w:szCs w:val="24"/>
          <w:lang w:val="sr-Cyrl-RS"/>
        </w:rPr>
      </w:pPr>
    </w:p>
    <w:p w14:paraId="73DEB7DA" w14:textId="413F3A54" w:rsidR="00357568" w:rsidRDefault="00357568" w:rsidP="00357568">
      <w:pPr>
        <w:pStyle w:val="ListParagraph"/>
        <w:spacing w:after="100" w:afterAutospacing="1"/>
        <w:ind w:left="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КРИТЕРИЈУМИ ЗА ДОДЕЛУ УГОВОРА</w:t>
      </w:r>
    </w:p>
    <w:p w14:paraId="0CB56A91" w14:textId="77777777" w:rsidR="002E26FA" w:rsidRDefault="002E26FA" w:rsidP="00357568">
      <w:pPr>
        <w:pStyle w:val="ListParagraph"/>
        <w:spacing w:after="100" w:afterAutospacing="1"/>
        <w:ind w:left="0"/>
        <w:jc w:val="center"/>
        <w:rPr>
          <w:sz w:val="24"/>
          <w:szCs w:val="24"/>
          <w:lang w:val="sr-Cyrl-RS"/>
        </w:rPr>
      </w:pPr>
    </w:p>
    <w:p w14:paraId="2FE321D6" w14:textId="77777777" w:rsidR="00357568" w:rsidRDefault="00357568" w:rsidP="004E294A">
      <w:pPr>
        <w:pStyle w:val="ListParagraph"/>
        <w:spacing w:after="100" w:afterAutospacing="1"/>
        <w:ind w:left="0"/>
        <w:jc w:val="both"/>
        <w:rPr>
          <w:sz w:val="24"/>
          <w:szCs w:val="24"/>
          <w:lang w:val="sr-Cyrl-RS"/>
        </w:rPr>
      </w:pPr>
    </w:p>
    <w:p w14:paraId="3711ADE8" w14:textId="6805019A" w:rsidR="00FA3076" w:rsidRPr="00230DAD" w:rsidRDefault="004E294A" w:rsidP="004E294A">
      <w:pPr>
        <w:pStyle w:val="ListParagraph"/>
        <w:spacing w:after="100" w:afterAutospacing="1"/>
        <w:ind w:left="0"/>
        <w:jc w:val="both"/>
        <w:rPr>
          <w:sz w:val="24"/>
          <w:szCs w:val="24"/>
          <w:lang w:val="sr-Cyrl-RS"/>
        </w:rPr>
      </w:pPr>
      <w:r w:rsidRPr="00DC0BF8">
        <w:rPr>
          <w:sz w:val="24"/>
          <w:szCs w:val="24"/>
          <w:lang w:val="sr-Cyrl-RS"/>
        </w:rPr>
        <w:t xml:space="preserve">У поступку јавне набавке наручилац </w:t>
      </w:r>
      <w:r>
        <w:rPr>
          <w:sz w:val="24"/>
          <w:szCs w:val="24"/>
          <w:lang w:val="sr-Cyrl-RS"/>
        </w:rPr>
        <w:t xml:space="preserve">ће </w:t>
      </w:r>
      <w:r w:rsidRPr="00DC0BF8">
        <w:rPr>
          <w:sz w:val="24"/>
          <w:szCs w:val="24"/>
          <w:lang w:val="sr-Cyrl-RS"/>
        </w:rPr>
        <w:t>доде</w:t>
      </w:r>
      <w:r>
        <w:rPr>
          <w:sz w:val="24"/>
          <w:szCs w:val="24"/>
          <w:lang w:val="sr-Cyrl-RS"/>
        </w:rPr>
        <w:t>лити</w:t>
      </w:r>
      <w:r w:rsidRPr="00DC0BF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уговор</w:t>
      </w:r>
      <w:r w:rsidRPr="00DC0BF8">
        <w:rPr>
          <w:sz w:val="24"/>
          <w:szCs w:val="24"/>
          <w:lang w:val="sr-Cyrl-RS"/>
        </w:rPr>
        <w:t xml:space="preserve"> економски најповољнијој понуди кој</w:t>
      </w:r>
      <w:r>
        <w:rPr>
          <w:sz w:val="24"/>
          <w:szCs w:val="24"/>
          <w:lang w:val="sr-Cyrl-RS"/>
        </w:rPr>
        <w:t>а се</w:t>
      </w:r>
      <w:r w:rsidRPr="00DC0BF8">
        <w:rPr>
          <w:sz w:val="24"/>
          <w:szCs w:val="24"/>
          <w:lang w:val="sr-Cyrl-RS"/>
        </w:rPr>
        <w:t xml:space="preserve"> одређује </w:t>
      </w:r>
      <w:r>
        <w:rPr>
          <w:sz w:val="24"/>
          <w:szCs w:val="24"/>
          <w:lang w:val="sr-Cyrl-RS"/>
        </w:rPr>
        <w:t>н</w:t>
      </w:r>
      <w:r w:rsidRPr="00DC0BF8">
        <w:rPr>
          <w:sz w:val="24"/>
          <w:szCs w:val="24"/>
          <w:lang w:val="sr-Cyrl-RS"/>
        </w:rPr>
        <w:t xml:space="preserve">а основу критеријума </w:t>
      </w:r>
      <w:r w:rsidR="00230DAD">
        <w:rPr>
          <w:sz w:val="24"/>
          <w:szCs w:val="24"/>
          <w:lang w:val="sr-Cyrl-RS"/>
        </w:rPr>
        <w:t>односа цене и квалитета</w:t>
      </w:r>
      <w:r w:rsidR="00783078">
        <w:rPr>
          <w:sz w:val="24"/>
          <w:szCs w:val="24"/>
          <w:lang w:val="sr-Cyrl-R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549"/>
        <w:gridCol w:w="1734"/>
      </w:tblGrid>
      <w:tr w:rsidR="00195A2B" w:rsidRPr="00195A2B" w14:paraId="415F4517" w14:textId="77777777" w:rsidTr="002B6E5E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57BC521D" w14:textId="77777777" w:rsidR="00195A2B" w:rsidRPr="00195A2B" w:rsidRDefault="00195A2B" w:rsidP="00646F33">
            <w:pPr>
              <w:jc w:val="center"/>
              <w:rPr>
                <w:b/>
                <w:bCs/>
                <w:lang w:val="sr-Cyrl-RS"/>
              </w:rPr>
            </w:pPr>
            <w:r w:rsidRPr="00195A2B">
              <w:rPr>
                <w:b/>
                <w:bCs/>
                <w:lang w:val="sr-Cyrl-RS"/>
              </w:rPr>
              <w:t>Редни</w:t>
            </w:r>
          </w:p>
          <w:p w14:paraId="6EA71267" w14:textId="77777777" w:rsidR="00195A2B" w:rsidRPr="00195A2B" w:rsidRDefault="00195A2B" w:rsidP="00646F33">
            <w:pPr>
              <w:jc w:val="center"/>
              <w:rPr>
                <w:b/>
                <w:bCs/>
                <w:lang w:val="sr-Cyrl-RS"/>
              </w:rPr>
            </w:pPr>
            <w:r w:rsidRPr="00195A2B">
              <w:rPr>
                <w:b/>
                <w:bCs/>
                <w:lang w:val="sr-Cyrl-RS"/>
              </w:rPr>
              <w:t>број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1A79DA87" w14:textId="77777777" w:rsidR="00195A2B" w:rsidRPr="00195A2B" w:rsidRDefault="00195A2B" w:rsidP="00646F33">
            <w:pPr>
              <w:jc w:val="center"/>
              <w:rPr>
                <w:b/>
                <w:bCs/>
                <w:lang w:val="sr-Cyrl-RS"/>
              </w:rPr>
            </w:pPr>
            <w:r w:rsidRPr="00195A2B">
              <w:rPr>
                <w:b/>
                <w:bCs/>
                <w:lang w:val="sr-Cyrl-RS"/>
              </w:rPr>
              <w:t>Елементи критетијума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FC1301A" w14:textId="77777777" w:rsidR="00195A2B" w:rsidRPr="00195A2B" w:rsidRDefault="00195A2B" w:rsidP="00646F33">
            <w:pPr>
              <w:jc w:val="center"/>
              <w:rPr>
                <w:b/>
                <w:bCs/>
                <w:lang w:val="sr-Cyrl-RS"/>
              </w:rPr>
            </w:pPr>
            <w:r w:rsidRPr="00195A2B">
              <w:rPr>
                <w:b/>
                <w:bCs/>
                <w:lang w:val="sr-Cyrl-RS"/>
              </w:rPr>
              <w:t>Број пондера</w:t>
            </w:r>
          </w:p>
        </w:tc>
      </w:tr>
      <w:tr w:rsidR="00C91AAD" w:rsidRPr="00195A2B" w14:paraId="7E6E5048" w14:textId="77777777" w:rsidTr="002B6E5E">
        <w:trPr>
          <w:trHeight w:val="567"/>
        </w:trPr>
        <w:tc>
          <w:tcPr>
            <w:tcW w:w="9242" w:type="dxa"/>
            <w:gridSpan w:val="3"/>
            <w:shd w:val="clear" w:color="auto" w:fill="auto"/>
            <w:vAlign w:val="center"/>
          </w:tcPr>
          <w:p w14:paraId="34C82CE0" w14:textId="7C45E493" w:rsidR="00C91AAD" w:rsidRPr="00195A2B" w:rsidRDefault="00C91AAD" w:rsidP="00C91AAD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Крите</w:t>
            </w:r>
            <w:r w:rsidR="00E2070A">
              <w:rPr>
                <w:b/>
                <w:bCs/>
                <w:lang w:val="sr-Cyrl-RS"/>
              </w:rPr>
              <w:t>р</w:t>
            </w:r>
            <w:r>
              <w:rPr>
                <w:b/>
                <w:bCs/>
                <w:lang w:val="sr-Cyrl-RS"/>
              </w:rPr>
              <w:t>ијум цене</w:t>
            </w:r>
          </w:p>
        </w:tc>
      </w:tr>
      <w:tr w:rsidR="00B34D75" w:rsidRPr="00195A2B" w14:paraId="4A20759A" w14:textId="77777777" w:rsidTr="002B6E5E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2F9DF701" w14:textId="1944A9C1" w:rsidR="00B34D75" w:rsidRDefault="00B34D75" w:rsidP="00B34D75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1.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5A19B582" w14:textId="55D878DA" w:rsidR="00B34D75" w:rsidRPr="00B34D75" w:rsidRDefault="00B34D75" w:rsidP="00B34D75">
            <w:pPr>
              <w:rPr>
                <w:lang w:val="sr-Cyrl-RS"/>
              </w:rPr>
            </w:pPr>
            <w:r w:rsidRPr="00785F6F">
              <w:rPr>
                <w:bCs/>
                <w:szCs w:val="22"/>
                <w:lang w:val="sr-Cyrl-RS"/>
              </w:rPr>
              <w:t xml:space="preserve">Укупна </w:t>
            </w:r>
            <w:r w:rsidR="004A63F3">
              <w:rPr>
                <w:bCs/>
                <w:szCs w:val="22"/>
                <w:lang w:val="sr-Cyrl-RS"/>
              </w:rPr>
              <w:t>цена</w:t>
            </w:r>
            <w:r w:rsidRPr="00785F6F">
              <w:rPr>
                <w:bCs/>
                <w:szCs w:val="22"/>
                <w:lang w:val="sr-Cyrl-RS"/>
              </w:rPr>
              <w:t xml:space="preserve"> без ПДВ-а исказана у Обрасцу структуре понуђене цене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066FDB9" w14:textId="21225821" w:rsidR="00B34D75" w:rsidRPr="00B34D75" w:rsidRDefault="00B34D75" w:rsidP="00B34D75">
            <w:pPr>
              <w:jc w:val="center"/>
              <w:rPr>
                <w:lang w:val="sr-Cyrl-RS"/>
              </w:rPr>
            </w:pPr>
            <w:r w:rsidRPr="00B34D75">
              <w:rPr>
                <w:lang w:val="sr-Cyrl-RS"/>
              </w:rPr>
              <w:t>70</w:t>
            </w:r>
          </w:p>
        </w:tc>
      </w:tr>
      <w:tr w:rsidR="00195A2B" w:rsidRPr="00195A2B" w14:paraId="50259316" w14:textId="77777777" w:rsidTr="002B6E5E">
        <w:trPr>
          <w:trHeight w:val="567"/>
        </w:trPr>
        <w:tc>
          <w:tcPr>
            <w:tcW w:w="9242" w:type="dxa"/>
            <w:gridSpan w:val="3"/>
            <w:shd w:val="clear" w:color="auto" w:fill="auto"/>
            <w:vAlign w:val="center"/>
          </w:tcPr>
          <w:p w14:paraId="31B38C99" w14:textId="3ACF46B7" w:rsidR="00195A2B" w:rsidRPr="00195A2B" w:rsidRDefault="00195A2B" w:rsidP="00195A2B">
            <w:pPr>
              <w:rPr>
                <w:b/>
                <w:bCs/>
                <w:lang w:val="sr-Cyrl-RS"/>
              </w:rPr>
            </w:pPr>
            <w:r w:rsidRPr="00195A2B">
              <w:rPr>
                <w:b/>
                <w:bCs/>
                <w:lang w:val="sr-Cyrl-RS"/>
              </w:rPr>
              <w:t xml:space="preserve">Критеријуми </w:t>
            </w:r>
            <w:r w:rsidR="00485A46">
              <w:rPr>
                <w:b/>
                <w:bCs/>
                <w:lang w:val="sr-Cyrl-RS"/>
              </w:rPr>
              <w:t>квалитета</w:t>
            </w:r>
          </w:p>
        </w:tc>
      </w:tr>
      <w:tr w:rsidR="00195A2B" w:rsidRPr="00195A2B" w14:paraId="5A6827DF" w14:textId="77777777" w:rsidTr="002B6E5E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4213453B" w14:textId="18F3A660" w:rsidR="00195A2B" w:rsidRPr="00195A2B" w:rsidRDefault="00204782" w:rsidP="00646F33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</w:t>
            </w:r>
            <w:r w:rsidR="00195A2B" w:rsidRPr="00195A2B">
              <w:rPr>
                <w:b/>
                <w:bCs/>
                <w:lang w:val="sr-Cyrl-RS"/>
              </w:rPr>
              <w:t>.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7853CD36" w14:textId="78DD5F1C" w:rsidR="00195A2B" w:rsidRPr="00195A2B" w:rsidRDefault="00237870" w:rsidP="00646F33">
            <w:pPr>
              <w:rPr>
                <w:lang w:val="sr-Cyrl-RS"/>
              </w:rPr>
            </w:pPr>
            <w:r>
              <w:rPr>
                <w:lang w:val="sr-Cyrl-RS"/>
              </w:rPr>
              <w:t>Број „тендерски нових возила“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1F47638" w14:textId="384E12DC" w:rsidR="00195A2B" w:rsidRPr="00195A2B" w:rsidRDefault="004F4E4A" w:rsidP="00646F3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195A2B" w:rsidRPr="00195A2B" w14:paraId="620D77A1" w14:textId="77777777" w:rsidTr="002B6E5E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68CE7492" w14:textId="4C1941FB" w:rsidR="00195A2B" w:rsidRPr="00195A2B" w:rsidRDefault="00204782" w:rsidP="00646F33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</w:t>
            </w:r>
            <w:r w:rsidR="00195A2B" w:rsidRPr="00195A2B">
              <w:rPr>
                <w:b/>
                <w:bCs/>
                <w:lang w:val="sr-Cyrl-RS"/>
              </w:rPr>
              <w:t>.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535AE7B8" w14:textId="48186859" w:rsidR="00195A2B" w:rsidRPr="00195A2B" w:rsidRDefault="00237870" w:rsidP="00646F33">
            <w:pPr>
              <w:rPr>
                <w:lang w:val="sr-Cyrl-RS"/>
              </w:rPr>
            </w:pPr>
            <w:bookmarkStart w:id="0" w:name="_Hlk162211116"/>
            <w:r>
              <w:rPr>
                <w:lang w:val="sr-Cyrl-RS"/>
              </w:rPr>
              <w:t xml:space="preserve">Број </w:t>
            </w:r>
            <w:r w:rsidR="00A112AD">
              <w:rPr>
                <w:lang w:val="sr-Cyrl-RS"/>
              </w:rPr>
              <w:t>„</w:t>
            </w:r>
            <w:r>
              <w:rPr>
                <w:lang w:val="sr-Cyrl-RS"/>
              </w:rPr>
              <w:t>нових е</w:t>
            </w:r>
            <w:r w:rsidR="002D593A" w:rsidRPr="002D593A">
              <w:rPr>
                <w:lang w:val="sr-Cyrl-RS"/>
              </w:rPr>
              <w:t>лектричн</w:t>
            </w:r>
            <w:r>
              <w:rPr>
                <w:lang w:val="sr-Cyrl-RS"/>
              </w:rPr>
              <w:t>их</w:t>
            </w:r>
            <w:r w:rsidR="002D593A" w:rsidRPr="002D593A">
              <w:rPr>
                <w:lang w:val="sr-Cyrl-RS"/>
              </w:rPr>
              <w:t xml:space="preserve"> и</w:t>
            </w:r>
            <w:r w:rsidR="00BC30BE">
              <w:rPr>
                <w:lang w:val="sr-Cyrl-RS"/>
              </w:rPr>
              <w:t>/или</w:t>
            </w:r>
            <w:r w:rsidR="002D593A" w:rsidRPr="002D593A">
              <w:rPr>
                <w:lang w:val="sr-Cyrl-RS"/>
              </w:rPr>
              <w:t xml:space="preserve"> хибридн</w:t>
            </w:r>
            <w:r>
              <w:rPr>
                <w:lang w:val="sr-Cyrl-RS"/>
              </w:rPr>
              <w:t>их</w:t>
            </w:r>
            <w:r w:rsidR="002D593A" w:rsidRPr="002D593A">
              <w:rPr>
                <w:lang w:val="sr-Cyrl-RS"/>
              </w:rPr>
              <w:t xml:space="preserve"> возила</w:t>
            </w:r>
            <w:bookmarkEnd w:id="0"/>
            <w:r w:rsidR="00A112AD">
              <w:rPr>
                <w:lang w:val="sr-Cyrl-RS"/>
              </w:rPr>
              <w:t>“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1786026" w14:textId="0A78B1B8" w:rsidR="00195A2B" w:rsidRPr="00195A2B" w:rsidRDefault="004F4E4A" w:rsidP="00646F3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</w:tr>
    </w:tbl>
    <w:p w14:paraId="39B355EC" w14:textId="77777777" w:rsidR="00195A2B" w:rsidRPr="00195A2B" w:rsidRDefault="00195A2B" w:rsidP="00195A2B">
      <w:pPr>
        <w:pStyle w:val="BodyText"/>
        <w:spacing w:after="0" w:line="240" w:lineRule="auto"/>
        <w:jc w:val="both"/>
        <w:rPr>
          <w:b/>
          <w:u w:val="single"/>
          <w:lang w:val="sr-Cyrl-RS"/>
        </w:rPr>
      </w:pPr>
    </w:p>
    <w:p w14:paraId="672FABAB" w14:textId="77777777" w:rsidR="00FA3076" w:rsidRDefault="00FA3076" w:rsidP="00195A2B">
      <w:pPr>
        <w:pStyle w:val="BodyText"/>
        <w:spacing w:after="0" w:line="240" w:lineRule="auto"/>
        <w:jc w:val="both"/>
        <w:rPr>
          <w:b/>
          <w:lang w:val="sr-Cyrl-RS"/>
        </w:rPr>
      </w:pPr>
    </w:p>
    <w:p w14:paraId="2FF410EF" w14:textId="1C7FFF14" w:rsidR="00195A2B" w:rsidRPr="00E2070A" w:rsidRDefault="00195A2B" w:rsidP="00195A2B">
      <w:pPr>
        <w:pStyle w:val="BodyText"/>
        <w:spacing w:after="0" w:line="240" w:lineRule="auto"/>
        <w:jc w:val="both"/>
        <w:rPr>
          <w:rFonts w:eastAsia="Calibri"/>
          <w:b/>
          <w:color w:val="auto"/>
          <w:lang w:val="sr-Cyrl-RS" w:eastAsia="zh-CN"/>
        </w:rPr>
      </w:pPr>
      <w:r w:rsidRPr="00E2070A">
        <w:rPr>
          <w:b/>
          <w:lang w:val="sr-Cyrl-RS"/>
        </w:rPr>
        <w:t xml:space="preserve">1. </w:t>
      </w:r>
      <w:r w:rsidR="00E2070A" w:rsidRPr="00E2070A">
        <w:rPr>
          <w:b/>
          <w:lang w:val="sr-Cyrl-RS"/>
        </w:rPr>
        <w:t xml:space="preserve">Критеријум цене </w:t>
      </w:r>
      <w:r w:rsidRPr="00E2070A">
        <w:rPr>
          <w:rFonts w:eastAsia="Calibri"/>
          <w:b/>
          <w:color w:val="auto"/>
          <w:lang w:val="sr-Cyrl-RS" w:eastAsia="zh-CN"/>
        </w:rPr>
        <w:t xml:space="preserve">- Максимално </w:t>
      </w:r>
      <w:r w:rsidR="00FA3076">
        <w:rPr>
          <w:rFonts w:eastAsia="Calibri"/>
          <w:b/>
          <w:color w:val="auto"/>
          <w:lang w:val="sr-Cyrl-RS" w:eastAsia="zh-CN"/>
        </w:rPr>
        <w:t>7</w:t>
      </w:r>
      <w:r w:rsidR="000820B8">
        <w:rPr>
          <w:rFonts w:eastAsia="Calibri"/>
          <w:b/>
          <w:color w:val="auto"/>
          <w:lang w:val="sr-Cyrl-RS" w:eastAsia="zh-CN"/>
        </w:rPr>
        <w:t>0</w:t>
      </w:r>
      <w:r w:rsidRPr="00E2070A">
        <w:rPr>
          <w:rFonts w:eastAsia="Calibri"/>
          <w:b/>
          <w:color w:val="auto"/>
          <w:lang w:val="sr-Cyrl-RS" w:eastAsia="zh-CN"/>
        </w:rPr>
        <w:t xml:space="preserve"> пондера</w:t>
      </w:r>
    </w:p>
    <w:p w14:paraId="4C36F347" w14:textId="77777777" w:rsidR="00317729" w:rsidRDefault="00317729" w:rsidP="00195A2B">
      <w:pPr>
        <w:jc w:val="both"/>
        <w:rPr>
          <w:rFonts w:eastAsia="Calibri"/>
          <w:lang w:val="sr-Cyrl-RS" w:eastAsia="zh-CN"/>
        </w:rPr>
      </w:pPr>
    </w:p>
    <w:p w14:paraId="3F95C4D7" w14:textId="77777777" w:rsidR="00B34D75" w:rsidRPr="00B34D75" w:rsidRDefault="00B34D75" w:rsidP="00B34D75">
      <w:pPr>
        <w:jc w:val="both"/>
        <w:rPr>
          <w:rFonts w:eastAsia="Calibri"/>
          <w:sz w:val="22"/>
          <w:szCs w:val="22"/>
          <w:lang w:val="sr-Cyrl-RS" w:eastAsia="zh-CN"/>
        </w:rPr>
      </w:pPr>
      <w:r w:rsidRPr="00B34D75">
        <w:rPr>
          <w:rFonts w:eastAsia="Calibri"/>
          <w:sz w:val="22"/>
          <w:szCs w:val="22"/>
          <w:lang w:val="sr-Cyrl-RS" w:eastAsia="zh-CN"/>
        </w:rPr>
        <w:t>Финансијска оцена сваке понуде врши се тако што се понуда са најнижом јединичном ценом по км, вреднује са максималним бројем пондера предвиђених за подкритеријум ''понуђена цена''.</w:t>
      </w:r>
    </w:p>
    <w:p w14:paraId="6FAD492A" w14:textId="77777777" w:rsidR="00B34D75" w:rsidRPr="00B34D75" w:rsidRDefault="00B34D75" w:rsidP="00B34D75">
      <w:pPr>
        <w:jc w:val="both"/>
        <w:rPr>
          <w:rFonts w:eastAsia="Calibri"/>
          <w:sz w:val="22"/>
          <w:szCs w:val="22"/>
          <w:lang w:val="sr-Cyrl-RS" w:eastAsia="zh-CN"/>
        </w:rPr>
      </w:pPr>
    </w:p>
    <w:p w14:paraId="65DCC106" w14:textId="77777777" w:rsidR="00B34D75" w:rsidRPr="00B34D75" w:rsidRDefault="00B34D75" w:rsidP="00B34D75">
      <w:pPr>
        <w:jc w:val="both"/>
        <w:rPr>
          <w:rFonts w:eastAsia="Calibri"/>
          <w:sz w:val="22"/>
          <w:szCs w:val="22"/>
          <w:lang w:val="sr-Cyrl-RS" w:eastAsia="zh-CN"/>
        </w:rPr>
      </w:pPr>
      <w:r w:rsidRPr="00B34D75">
        <w:rPr>
          <w:rFonts w:eastAsia="Calibri"/>
          <w:sz w:val="22"/>
          <w:szCs w:val="22"/>
          <w:lang w:val="sr-Cyrl-RS" w:eastAsia="zh-CN"/>
        </w:rPr>
        <w:t>За остале понуде број пондера се израчунава тако што се понуда са најнижом јединичном ценом по км помножи са максималним бројем пондера и подели са јединичном ценом по км понуђача чија се понуда разматра, а према следећим формулама:</w:t>
      </w:r>
    </w:p>
    <w:p w14:paraId="60E5EB41" w14:textId="77777777" w:rsidR="00B34D75" w:rsidRPr="00B34D75" w:rsidRDefault="00B34D75" w:rsidP="00B34D75">
      <w:pPr>
        <w:jc w:val="both"/>
        <w:rPr>
          <w:rFonts w:eastAsia="Calibri"/>
          <w:sz w:val="22"/>
          <w:szCs w:val="22"/>
          <w:lang w:val="sr-Cyrl-RS" w:eastAsia="zh-CN"/>
        </w:rPr>
      </w:pPr>
    </w:p>
    <w:p w14:paraId="6F7F01EA" w14:textId="77777777" w:rsidR="00B34D75" w:rsidRPr="00B34D75" w:rsidRDefault="00B34D75" w:rsidP="00B34D75">
      <w:pPr>
        <w:jc w:val="both"/>
        <w:rPr>
          <w:rFonts w:eastAsia="Calibri"/>
          <w:sz w:val="22"/>
          <w:szCs w:val="22"/>
          <w:lang w:val="sr-Cyrl-RS" w:eastAsia="zh-CN"/>
        </w:rPr>
      </w:pPr>
      <w:r w:rsidRPr="00B34D75">
        <w:rPr>
          <w:rFonts w:eastAsia="Calibri"/>
          <w:sz w:val="22"/>
          <w:szCs w:val="22"/>
          <w:lang w:val="sr-Cyrl-RS" w:eastAsia="zh-CN"/>
        </w:rPr>
        <w:tab/>
      </w:r>
      <w:r w:rsidRPr="00B34D75">
        <w:rPr>
          <w:rFonts w:eastAsia="Calibri"/>
          <w:sz w:val="22"/>
          <w:szCs w:val="22"/>
          <w:lang w:val="sr-Cyrl-RS" w:eastAsia="zh-CN"/>
        </w:rPr>
        <w:tab/>
        <w:t>најнижа укупна цена без ПДВ-а исказана у Обрасцу структуре понуђене цене</w:t>
      </w:r>
    </w:p>
    <w:p w14:paraId="76795E06" w14:textId="77777777" w:rsidR="00B34D75" w:rsidRPr="00B34D75" w:rsidRDefault="00B34D75" w:rsidP="00B34D75">
      <w:pPr>
        <w:jc w:val="both"/>
        <w:rPr>
          <w:rFonts w:eastAsia="Calibri"/>
          <w:sz w:val="22"/>
          <w:szCs w:val="22"/>
          <w:lang w:val="sr-Cyrl-RS" w:eastAsia="zh-CN"/>
        </w:rPr>
      </w:pPr>
      <w:r w:rsidRPr="00B34D75">
        <w:rPr>
          <w:rFonts w:eastAsia="Calibri"/>
          <w:sz w:val="22"/>
          <w:szCs w:val="22"/>
          <w:lang w:val="sr-Cyrl-RS" w:eastAsia="zh-CN"/>
        </w:rPr>
        <w:t>Број пондера = –––––––––––––––––––––––––––––––––––––––––––––––––––––––––––––––– х 70</w:t>
      </w:r>
    </w:p>
    <w:p w14:paraId="21A35D66" w14:textId="2918FB4D" w:rsidR="007C3E7C" w:rsidRDefault="00B34D75" w:rsidP="00B34D75">
      <w:pPr>
        <w:jc w:val="both"/>
        <w:rPr>
          <w:rFonts w:eastAsia="Calibri"/>
          <w:sz w:val="22"/>
          <w:szCs w:val="22"/>
          <w:lang w:val="sr-Cyrl-RS" w:eastAsia="zh-CN"/>
        </w:rPr>
      </w:pPr>
      <w:r w:rsidRPr="00B34D75">
        <w:rPr>
          <w:rFonts w:eastAsia="Calibri"/>
          <w:sz w:val="22"/>
          <w:szCs w:val="22"/>
          <w:lang w:val="sr-Cyrl-RS" w:eastAsia="zh-CN"/>
        </w:rPr>
        <w:tab/>
        <w:t>укупна цена без ПДВ-а исказана у Обрасцу структуре понуђене цене понуде која се рангира</w:t>
      </w:r>
    </w:p>
    <w:p w14:paraId="081310DE" w14:textId="77777777" w:rsidR="007C3E7C" w:rsidRDefault="007C3E7C" w:rsidP="00204782">
      <w:pPr>
        <w:jc w:val="both"/>
        <w:rPr>
          <w:rFonts w:eastAsia="Calibri"/>
          <w:sz w:val="22"/>
          <w:szCs w:val="22"/>
          <w:lang w:val="sr-Cyrl-RS" w:eastAsia="zh-CN"/>
        </w:rPr>
      </w:pPr>
    </w:p>
    <w:p w14:paraId="61E59110" w14:textId="77777777" w:rsidR="00E2070A" w:rsidRPr="00195A2B" w:rsidRDefault="00E2070A" w:rsidP="00195A2B">
      <w:pPr>
        <w:jc w:val="both"/>
        <w:rPr>
          <w:b/>
          <w:u w:val="single"/>
          <w:lang w:val="sr-Cyrl-RS" w:eastAsia="zh-CN"/>
        </w:rPr>
      </w:pPr>
    </w:p>
    <w:p w14:paraId="18303404" w14:textId="65A748C0" w:rsidR="00195A2B" w:rsidRPr="00204782" w:rsidRDefault="00195A2B" w:rsidP="0062502F">
      <w:pPr>
        <w:jc w:val="both"/>
        <w:rPr>
          <w:rFonts w:eastAsia="Calibri"/>
          <w:b/>
          <w:lang w:val="sr-Cyrl-RS" w:eastAsia="zh-CN"/>
        </w:rPr>
      </w:pPr>
      <w:r w:rsidRPr="00204782">
        <w:rPr>
          <w:b/>
          <w:lang w:val="sr-Cyrl-RS" w:eastAsia="zh-CN"/>
        </w:rPr>
        <w:t xml:space="preserve">2. </w:t>
      </w:r>
      <w:r w:rsidR="0054248E" w:rsidRPr="0054248E">
        <w:rPr>
          <w:b/>
          <w:lang w:val="sr-Cyrl-RS" w:eastAsia="zh-CN"/>
        </w:rPr>
        <w:t>Број „тендерски нових возила“</w:t>
      </w:r>
      <w:r w:rsidR="0054248E">
        <w:rPr>
          <w:b/>
          <w:lang w:val="sr-Cyrl-RS" w:eastAsia="zh-CN"/>
        </w:rPr>
        <w:t xml:space="preserve"> </w:t>
      </w:r>
      <w:r w:rsidRPr="00204782">
        <w:rPr>
          <w:b/>
          <w:lang w:val="sr-Cyrl-RS" w:eastAsia="zh-CN"/>
        </w:rPr>
        <w:t xml:space="preserve">- </w:t>
      </w:r>
      <w:r w:rsidRPr="00204782">
        <w:rPr>
          <w:rFonts w:eastAsia="Calibri"/>
          <w:b/>
          <w:lang w:val="sr-Cyrl-RS" w:eastAsia="zh-CN"/>
        </w:rPr>
        <w:t xml:space="preserve"> Максимално </w:t>
      </w:r>
      <w:r w:rsidR="009458F1">
        <w:rPr>
          <w:rFonts w:eastAsia="Calibri"/>
          <w:b/>
          <w:lang w:val="sr-Cyrl-RS" w:eastAsia="zh-CN"/>
        </w:rPr>
        <w:t>5</w:t>
      </w:r>
      <w:r w:rsidRPr="00204782">
        <w:rPr>
          <w:rFonts w:eastAsia="Calibri"/>
          <w:b/>
          <w:lang w:val="sr-Cyrl-RS" w:eastAsia="zh-CN"/>
        </w:rPr>
        <w:t xml:space="preserve"> пондера</w:t>
      </w:r>
    </w:p>
    <w:p w14:paraId="080F95FC" w14:textId="38179818" w:rsidR="00556E64" w:rsidRDefault="00556E64" w:rsidP="0062502F">
      <w:pPr>
        <w:jc w:val="both"/>
        <w:rPr>
          <w:iCs/>
          <w:lang w:val="sr-Cyrl-RS"/>
        </w:rPr>
      </w:pPr>
    </w:p>
    <w:p w14:paraId="7BFEDC31" w14:textId="34A58422" w:rsidR="00556E64" w:rsidRPr="00952117" w:rsidRDefault="0054248E" w:rsidP="0062502F">
      <w:pPr>
        <w:jc w:val="both"/>
        <w:rPr>
          <w:iCs/>
          <w:lang w:val="sr-Cyrl-RS"/>
        </w:rPr>
      </w:pPr>
      <w:r w:rsidRPr="0054248E">
        <w:rPr>
          <w:iCs/>
          <w:lang w:val="sr-Cyrl-RS"/>
        </w:rPr>
        <w:t>Број „тендерски нових возила“</w:t>
      </w:r>
      <w:r>
        <w:rPr>
          <w:iCs/>
          <w:lang w:val="sr-Cyrl-RS"/>
        </w:rPr>
        <w:t xml:space="preserve"> </w:t>
      </w:r>
      <w:r w:rsidR="00556E64" w:rsidRPr="00952117">
        <w:rPr>
          <w:iCs/>
          <w:lang w:val="sr-Cyrl-RS"/>
        </w:rPr>
        <w:t xml:space="preserve">пондерисаће се према бодовној скали за </w:t>
      </w:r>
      <w:r w:rsidRPr="0054248E">
        <w:rPr>
          <w:iCs/>
          <w:lang w:val="sr-Cyrl-RS"/>
        </w:rPr>
        <w:t>Број „тендерски нових возила“</w:t>
      </w:r>
      <w:r>
        <w:rPr>
          <w:iCs/>
          <w:lang w:val="sr-Cyrl-RS"/>
        </w:rPr>
        <w:t xml:space="preserve"> </w:t>
      </w:r>
      <w:r w:rsidR="00556E64" w:rsidRPr="00952117">
        <w:rPr>
          <w:iCs/>
          <w:lang w:val="sr-Cyrl-RS"/>
        </w:rPr>
        <w:t>које понуђач нуди.</w:t>
      </w:r>
    </w:p>
    <w:p w14:paraId="001DF8A8" w14:textId="18D8E4CE" w:rsidR="00E87C84" w:rsidRPr="00952117" w:rsidRDefault="00E87C84" w:rsidP="0062502F">
      <w:pPr>
        <w:jc w:val="both"/>
        <w:rPr>
          <w:iCs/>
          <w:lang w:val="sr-Cyrl-RS"/>
        </w:rPr>
      </w:pPr>
    </w:p>
    <w:p w14:paraId="53CE66E9" w14:textId="26BD1A4F" w:rsidR="00E87C84" w:rsidRPr="00952117" w:rsidRDefault="00E87C84" w:rsidP="0062502F">
      <w:pPr>
        <w:jc w:val="both"/>
        <w:rPr>
          <w:iCs/>
          <w:lang w:val="sr-Cyrl-RS"/>
        </w:rPr>
      </w:pPr>
      <w:r w:rsidRPr="00952117">
        <w:rPr>
          <w:iCs/>
          <w:lang w:val="sr-Cyrl-RS"/>
        </w:rPr>
        <w:t xml:space="preserve">Под термином </w:t>
      </w:r>
      <w:r w:rsidR="0054248E" w:rsidRPr="0054248E">
        <w:rPr>
          <w:iCs/>
          <w:lang w:val="sr-Cyrl-RS"/>
        </w:rPr>
        <w:t>„тендерски нов</w:t>
      </w:r>
      <w:r w:rsidR="0054248E">
        <w:rPr>
          <w:iCs/>
          <w:lang w:val="sr-Cyrl-RS"/>
        </w:rPr>
        <w:t>о</w:t>
      </w:r>
      <w:r w:rsidR="0054248E" w:rsidRPr="0054248E">
        <w:rPr>
          <w:iCs/>
          <w:lang w:val="sr-Cyrl-RS"/>
        </w:rPr>
        <w:t xml:space="preserve"> возил</w:t>
      </w:r>
      <w:r w:rsidR="0054248E">
        <w:rPr>
          <w:iCs/>
          <w:lang w:val="sr-Cyrl-RS"/>
        </w:rPr>
        <w:t>о</w:t>
      </w:r>
      <w:r w:rsidR="0054248E" w:rsidRPr="0054248E">
        <w:rPr>
          <w:iCs/>
          <w:lang w:val="sr-Cyrl-RS"/>
        </w:rPr>
        <w:t>“</w:t>
      </w:r>
      <w:r w:rsidR="0054248E">
        <w:rPr>
          <w:iCs/>
          <w:lang w:val="sr-Cyrl-RS"/>
        </w:rPr>
        <w:t xml:space="preserve"> </w:t>
      </w:r>
      <w:r w:rsidR="0054248E" w:rsidRPr="0097656D">
        <w:rPr>
          <w:noProof/>
          <w:lang w:val="sr-Cyrl-RS"/>
        </w:rPr>
        <w:t xml:space="preserve">подразумева се нов аутобус, тј. аутобус произведен и регистрован у 2023. , 2024. години и новији, са целокупном конструкцијом и уграђеним </w:t>
      </w:r>
      <w:r w:rsidR="0054248E" w:rsidRPr="0097656D">
        <w:rPr>
          <w:noProof/>
          <w:lang w:val="sr-Cyrl-RS"/>
        </w:rPr>
        <w:lastRenderedPageBreak/>
        <w:t>агрегатима, склоповима, подсклоповима, деловима и другим уграђеним ставкама. Уколико се година прве регистрације и година производње разликују за више од једне календарске године, за датум прве регистрације узима се 31.12. године производње.</w:t>
      </w:r>
    </w:p>
    <w:p w14:paraId="78991970" w14:textId="77777777" w:rsidR="00556E64" w:rsidRPr="00952117" w:rsidRDefault="00556E64" w:rsidP="0062502F">
      <w:pPr>
        <w:jc w:val="both"/>
        <w:rPr>
          <w:rFonts w:eastAsia="Calibri"/>
          <w:lang w:val="sr-Cyrl-RS" w:eastAsia="zh-CN"/>
        </w:rPr>
      </w:pP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2"/>
        <w:gridCol w:w="3206"/>
      </w:tblGrid>
      <w:tr w:rsidR="00952117" w:rsidRPr="00952117" w14:paraId="77C2DBF8" w14:textId="77777777" w:rsidTr="002E26FA">
        <w:trPr>
          <w:trHeight w:val="331"/>
          <w:jc w:val="center"/>
        </w:trPr>
        <w:tc>
          <w:tcPr>
            <w:tcW w:w="9318" w:type="dxa"/>
            <w:gridSpan w:val="2"/>
            <w:shd w:val="clear" w:color="auto" w:fill="auto"/>
            <w:vAlign w:val="center"/>
          </w:tcPr>
          <w:p w14:paraId="07984605" w14:textId="0967B745" w:rsidR="00556E64" w:rsidRPr="00952117" w:rsidRDefault="00022668" w:rsidP="0062502F">
            <w:pPr>
              <w:jc w:val="center"/>
              <w:rPr>
                <w:rFonts w:eastAsia="Calibri"/>
                <w:lang w:val="sr-Cyrl-RS" w:eastAsia="zh-CN"/>
              </w:rPr>
            </w:pPr>
            <w:r>
              <w:rPr>
                <w:lang w:val="sr-Cyrl-RS"/>
              </w:rPr>
              <w:t>Број „тендерски нових возила“</w:t>
            </w:r>
          </w:p>
        </w:tc>
      </w:tr>
      <w:tr w:rsidR="0062502F" w:rsidRPr="00195A2B" w14:paraId="71DEB52E" w14:textId="77777777" w:rsidTr="002E26FA">
        <w:trPr>
          <w:trHeight w:val="331"/>
          <w:jc w:val="center"/>
        </w:trPr>
        <w:tc>
          <w:tcPr>
            <w:tcW w:w="6112" w:type="dxa"/>
            <w:shd w:val="clear" w:color="auto" w:fill="auto"/>
            <w:vAlign w:val="center"/>
          </w:tcPr>
          <w:p w14:paraId="3B9905CD" w14:textId="69129319" w:rsidR="0062502F" w:rsidRPr="007C3E7C" w:rsidRDefault="00002B48" w:rsidP="0062502F">
            <w:pPr>
              <w:rPr>
                <w:rFonts w:eastAsia="Calibri"/>
                <w:lang w:val="sr-Cyrl-RS" w:eastAsia="zh-CN"/>
              </w:rPr>
            </w:pPr>
            <w:r>
              <w:rPr>
                <w:rFonts w:eastAsia="Calibri"/>
                <w:lang w:val="sr-Cyrl-RS" w:eastAsia="zh-CN"/>
              </w:rPr>
              <w:t>170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8806CE6" w14:textId="73EDC036" w:rsidR="0062502F" w:rsidRPr="00195A2B" w:rsidRDefault="0062502F" w:rsidP="0062502F">
            <w:pPr>
              <w:jc w:val="center"/>
              <w:rPr>
                <w:rFonts w:eastAsia="Calibri"/>
                <w:lang w:val="sr-Cyrl-RS" w:eastAsia="zh-CN"/>
              </w:rPr>
            </w:pPr>
            <w:r>
              <w:rPr>
                <w:rFonts w:eastAsia="Calibri"/>
                <w:lang w:val="sr-Cyrl-RS" w:eastAsia="zh-CN"/>
              </w:rPr>
              <w:t xml:space="preserve">0 </w:t>
            </w:r>
            <w:r w:rsidRPr="00195A2B">
              <w:rPr>
                <w:rFonts w:eastAsia="Calibri"/>
                <w:lang w:val="sr-Cyrl-RS" w:eastAsia="zh-CN"/>
              </w:rPr>
              <w:t>пондера</w:t>
            </w:r>
          </w:p>
        </w:tc>
      </w:tr>
      <w:tr w:rsidR="0062502F" w:rsidRPr="00195A2B" w14:paraId="704C34F7" w14:textId="77777777" w:rsidTr="00D7752C">
        <w:trPr>
          <w:trHeight w:val="331"/>
          <w:jc w:val="center"/>
        </w:trPr>
        <w:tc>
          <w:tcPr>
            <w:tcW w:w="6112" w:type="dxa"/>
            <w:shd w:val="clear" w:color="auto" w:fill="auto"/>
          </w:tcPr>
          <w:p w14:paraId="55C9A686" w14:textId="3CCC38C6" w:rsidR="0062502F" w:rsidRDefault="0062502F" w:rsidP="0062502F">
            <w:pPr>
              <w:rPr>
                <w:rFonts w:eastAsia="Calibri"/>
                <w:lang w:val="sr-Cyrl-RS" w:eastAsia="zh-CN"/>
              </w:rPr>
            </w:pPr>
            <w:r w:rsidRPr="00125D55">
              <w:rPr>
                <w:rFonts w:eastAsia="Calibri"/>
                <w:lang w:val="sr-Cyrl-RS" w:eastAsia="zh-CN"/>
              </w:rPr>
              <w:t xml:space="preserve">Од </w:t>
            </w:r>
            <w:r w:rsidR="00002B48">
              <w:rPr>
                <w:rFonts w:eastAsia="Calibri"/>
                <w:lang w:val="sr-Cyrl-RS" w:eastAsia="zh-CN"/>
              </w:rPr>
              <w:t>171</w:t>
            </w:r>
            <w:r w:rsidRPr="00125D55">
              <w:rPr>
                <w:rFonts w:eastAsia="Calibri"/>
                <w:lang w:val="sr-Cyrl-RS" w:eastAsia="zh-CN"/>
              </w:rPr>
              <w:t xml:space="preserve"> до </w:t>
            </w:r>
            <w:r w:rsidR="00002B48">
              <w:rPr>
                <w:rFonts w:eastAsia="Calibri"/>
                <w:lang w:val="sr-Cyrl-RS" w:eastAsia="zh-CN"/>
              </w:rPr>
              <w:t>185</w:t>
            </w:r>
          </w:p>
        </w:tc>
        <w:tc>
          <w:tcPr>
            <w:tcW w:w="3206" w:type="dxa"/>
            <w:shd w:val="clear" w:color="auto" w:fill="auto"/>
          </w:tcPr>
          <w:p w14:paraId="340649DB" w14:textId="6EBA5331" w:rsidR="0062502F" w:rsidRDefault="00625A7A" w:rsidP="0062502F">
            <w:pPr>
              <w:jc w:val="center"/>
              <w:rPr>
                <w:rFonts w:eastAsia="Calibri"/>
                <w:lang w:val="sr-Cyrl-RS" w:eastAsia="zh-CN"/>
              </w:rPr>
            </w:pPr>
            <w:r>
              <w:rPr>
                <w:rFonts w:eastAsia="Calibri"/>
                <w:lang w:val="sr-Cyrl-RS" w:eastAsia="zh-CN"/>
              </w:rPr>
              <w:t>2</w:t>
            </w:r>
            <w:r w:rsidR="0062502F" w:rsidRPr="000F42D7">
              <w:rPr>
                <w:rFonts w:eastAsia="Calibri"/>
                <w:lang w:val="sr-Cyrl-RS" w:eastAsia="zh-CN"/>
              </w:rPr>
              <w:t xml:space="preserve"> пондера</w:t>
            </w:r>
          </w:p>
        </w:tc>
      </w:tr>
      <w:tr w:rsidR="0062502F" w:rsidRPr="00195A2B" w14:paraId="64703BCE" w14:textId="77777777" w:rsidTr="009F6312">
        <w:trPr>
          <w:trHeight w:val="331"/>
          <w:jc w:val="center"/>
        </w:trPr>
        <w:tc>
          <w:tcPr>
            <w:tcW w:w="6112" w:type="dxa"/>
            <w:shd w:val="clear" w:color="auto" w:fill="auto"/>
            <w:vAlign w:val="center"/>
          </w:tcPr>
          <w:p w14:paraId="2967AD99" w14:textId="386990BC" w:rsidR="0062502F" w:rsidRDefault="00002B48" w:rsidP="0062502F">
            <w:pPr>
              <w:rPr>
                <w:rFonts w:eastAsia="Calibri"/>
                <w:lang w:val="sr-Cyrl-RS" w:eastAsia="zh-CN"/>
              </w:rPr>
            </w:pPr>
            <w:r>
              <w:rPr>
                <w:rFonts w:eastAsia="Calibri"/>
                <w:lang w:val="sr-Cyrl-RS" w:eastAsia="zh-CN"/>
              </w:rPr>
              <w:t>186</w:t>
            </w:r>
            <w:r w:rsidR="0062502F" w:rsidRPr="007C3E7C">
              <w:rPr>
                <w:rFonts w:eastAsia="Calibri"/>
                <w:lang w:val="sr-Cyrl-RS" w:eastAsia="zh-CN"/>
              </w:rPr>
              <w:t xml:space="preserve"> и више</w:t>
            </w:r>
          </w:p>
        </w:tc>
        <w:tc>
          <w:tcPr>
            <w:tcW w:w="3206" w:type="dxa"/>
            <w:shd w:val="clear" w:color="auto" w:fill="auto"/>
          </w:tcPr>
          <w:p w14:paraId="097B90D7" w14:textId="2899FD99" w:rsidR="0062502F" w:rsidRDefault="00625A7A" w:rsidP="0062502F">
            <w:pPr>
              <w:jc w:val="center"/>
              <w:rPr>
                <w:rFonts w:eastAsia="Calibri"/>
                <w:lang w:val="sr-Cyrl-RS" w:eastAsia="zh-CN"/>
              </w:rPr>
            </w:pPr>
            <w:r>
              <w:rPr>
                <w:rFonts w:eastAsia="Calibri"/>
                <w:lang w:val="sr-Cyrl-RS" w:eastAsia="zh-CN"/>
              </w:rPr>
              <w:t>5</w:t>
            </w:r>
            <w:r w:rsidR="0062502F" w:rsidRPr="000F42D7">
              <w:rPr>
                <w:rFonts w:eastAsia="Calibri"/>
                <w:lang w:val="sr-Cyrl-RS" w:eastAsia="zh-CN"/>
              </w:rPr>
              <w:t xml:space="preserve"> пондера</w:t>
            </w:r>
          </w:p>
        </w:tc>
      </w:tr>
    </w:tbl>
    <w:p w14:paraId="05207531" w14:textId="77777777" w:rsidR="000148B2" w:rsidRDefault="000148B2" w:rsidP="0062502F">
      <w:pPr>
        <w:jc w:val="both"/>
        <w:rPr>
          <w:b/>
          <w:u w:val="single"/>
          <w:lang w:eastAsia="zh-CN"/>
        </w:rPr>
      </w:pPr>
    </w:p>
    <w:p w14:paraId="23BA1DB4" w14:textId="77777777" w:rsidR="00204782" w:rsidRDefault="00204782" w:rsidP="0062502F">
      <w:pPr>
        <w:jc w:val="both"/>
        <w:rPr>
          <w:b/>
          <w:u w:val="single"/>
          <w:lang w:eastAsia="zh-CN"/>
        </w:rPr>
      </w:pPr>
    </w:p>
    <w:p w14:paraId="4F18A0F9" w14:textId="3BE0C0B0" w:rsidR="00195A2B" w:rsidRPr="00204782" w:rsidRDefault="00195A2B" w:rsidP="0062502F">
      <w:pPr>
        <w:jc w:val="both"/>
        <w:rPr>
          <w:rFonts w:eastAsia="Calibri"/>
          <w:b/>
          <w:lang w:val="sr-Cyrl-RS" w:eastAsia="zh-CN"/>
        </w:rPr>
      </w:pPr>
      <w:r w:rsidRPr="00204782">
        <w:rPr>
          <w:b/>
          <w:lang w:eastAsia="zh-CN"/>
        </w:rPr>
        <w:t>3</w:t>
      </w:r>
      <w:r w:rsidRPr="00204782">
        <w:rPr>
          <w:b/>
          <w:lang w:val="sr-Cyrl-RS" w:eastAsia="zh-CN"/>
        </w:rPr>
        <w:t xml:space="preserve">. </w:t>
      </w:r>
      <w:r w:rsidR="00797A5E" w:rsidRPr="00797A5E">
        <w:rPr>
          <w:b/>
          <w:bCs/>
          <w:lang w:val="sr-Cyrl-RS"/>
        </w:rPr>
        <w:t xml:space="preserve">Број </w:t>
      </w:r>
      <w:r w:rsidR="00A112AD">
        <w:rPr>
          <w:b/>
          <w:bCs/>
          <w:lang w:val="sr-Cyrl-RS"/>
        </w:rPr>
        <w:t>„</w:t>
      </w:r>
      <w:r w:rsidR="00797A5E" w:rsidRPr="00797A5E">
        <w:rPr>
          <w:b/>
          <w:bCs/>
          <w:lang w:val="sr-Cyrl-RS"/>
        </w:rPr>
        <w:t>нових електричних и/или хибридних возила</w:t>
      </w:r>
      <w:r w:rsidR="00A112AD">
        <w:rPr>
          <w:b/>
          <w:bCs/>
          <w:lang w:val="sr-Cyrl-RS"/>
        </w:rPr>
        <w:t>“</w:t>
      </w:r>
      <w:r w:rsidR="004B7530">
        <w:rPr>
          <w:b/>
          <w:bCs/>
          <w:lang w:val="sr-Cyrl-RS"/>
        </w:rPr>
        <w:t xml:space="preserve"> -</w:t>
      </w:r>
      <w:r w:rsidRPr="00204782">
        <w:rPr>
          <w:b/>
          <w:lang w:val="sr-Cyrl-RS" w:eastAsia="zh-CN"/>
        </w:rPr>
        <w:t xml:space="preserve"> максимално</w:t>
      </w:r>
      <w:r w:rsidRPr="00204782">
        <w:rPr>
          <w:rFonts w:eastAsia="Calibri"/>
          <w:b/>
          <w:lang w:val="sr-Cyrl-RS" w:eastAsia="zh-CN"/>
        </w:rPr>
        <w:t xml:space="preserve"> </w:t>
      </w:r>
      <w:r w:rsidR="00797A5E">
        <w:rPr>
          <w:rFonts w:eastAsia="Calibri"/>
          <w:b/>
          <w:lang w:val="sr-Cyrl-RS" w:eastAsia="zh-CN"/>
        </w:rPr>
        <w:t>2</w:t>
      </w:r>
      <w:r w:rsidR="00C8017D">
        <w:rPr>
          <w:rFonts w:eastAsia="Calibri"/>
          <w:b/>
          <w:lang w:val="sr-Cyrl-RS" w:eastAsia="zh-CN"/>
        </w:rPr>
        <w:t>5</w:t>
      </w:r>
      <w:r w:rsidRPr="00204782">
        <w:rPr>
          <w:rFonts w:eastAsia="Calibri"/>
          <w:b/>
          <w:lang w:val="sr-Cyrl-RS" w:eastAsia="zh-CN"/>
        </w:rPr>
        <w:t xml:space="preserve"> пондера </w:t>
      </w:r>
    </w:p>
    <w:p w14:paraId="7EE43F81" w14:textId="77777777" w:rsidR="00195A2B" w:rsidRPr="00952117" w:rsidRDefault="00195A2B" w:rsidP="0062502F">
      <w:pPr>
        <w:jc w:val="both"/>
        <w:rPr>
          <w:rFonts w:eastAsia="Calibri"/>
          <w:lang w:val="sr-Cyrl-RS" w:eastAsia="zh-CN"/>
        </w:rPr>
      </w:pPr>
    </w:p>
    <w:p w14:paraId="7DB60E60" w14:textId="1E95EA71" w:rsidR="006076E4" w:rsidRPr="006076E4" w:rsidRDefault="006076E4" w:rsidP="006076E4">
      <w:pPr>
        <w:spacing w:line="276" w:lineRule="auto"/>
        <w:jc w:val="both"/>
        <w:rPr>
          <w:iCs/>
          <w:lang w:val="sr-Cyrl-RS"/>
        </w:rPr>
      </w:pPr>
      <w:r w:rsidRPr="006076E4">
        <w:rPr>
          <w:lang w:val="sr-Cyrl-RS"/>
        </w:rPr>
        <w:t>Електрична и</w:t>
      </w:r>
      <w:r w:rsidR="006C031D">
        <w:rPr>
          <w:lang w:val="sr-Cyrl-RS"/>
        </w:rPr>
        <w:t>/или</w:t>
      </w:r>
      <w:r w:rsidRPr="006076E4">
        <w:rPr>
          <w:lang w:val="sr-Cyrl-RS"/>
        </w:rPr>
        <w:t xml:space="preserve"> хибридна возила с обзиром на чињеницу да ова возила не емитују или емитују у малој мери гасове са ефектом стаклене баште чиме се драстично смањује загађење животне средине, </w:t>
      </w:r>
      <w:r w:rsidRPr="006076E4">
        <w:rPr>
          <w:iCs/>
          <w:lang w:val="sr-Cyrl-RS"/>
        </w:rPr>
        <w:t>пондерисаће се према бодовној скали, за број нових електричних и</w:t>
      </w:r>
      <w:r w:rsidR="006C031D">
        <w:rPr>
          <w:iCs/>
          <w:lang w:val="sr-Cyrl-RS"/>
        </w:rPr>
        <w:t>/или</w:t>
      </w:r>
      <w:r w:rsidRPr="006076E4">
        <w:rPr>
          <w:iCs/>
          <w:lang w:val="sr-Cyrl-RS"/>
        </w:rPr>
        <w:t xml:space="preserve"> хибридних возила које понуђач нуди.</w:t>
      </w:r>
    </w:p>
    <w:p w14:paraId="4C526D9D" w14:textId="77777777" w:rsidR="006076E4" w:rsidRPr="006076E4" w:rsidRDefault="006076E4" w:rsidP="006076E4">
      <w:pPr>
        <w:spacing w:line="276" w:lineRule="auto"/>
        <w:jc w:val="both"/>
        <w:rPr>
          <w:iCs/>
          <w:lang w:val="sr-Cyrl-RS"/>
        </w:rPr>
      </w:pPr>
    </w:p>
    <w:p w14:paraId="19D99071" w14:textId="719262EB" w:rsidR="002E26FA" w:rsidRDefault="006076E4" w:rsidP="0062502F">
      <w:pPr>
        <w:spacing w:line="276" w:lineRule="auto"/>
        <w:jc w:val="both"/>
        <w:rPr>
          <w:noProof/>
          <w:lang w:val="sr-Cyrl-RS"/>
        </w:rPr>
      </w:pPr>
      <w:r w:rsidRPr="006076E4">
        <w:rPr>
          <w:iCs/>
          <w:lang w:val="sr-Cyrl-RS"/>
        </w:rPr>
        <w:t xml:space="preserve">Под термином “ново електрично и/или хибридно возило” </w:t>
      </w:r>
      <w:r w:rsidR="002200BA" w:rsidRPr="0097656D">
        <w:rPr>
          <w:noProof/>
          <w:lang w:val="sr-Cyrl-RS"/>
        </w:rPr>
        <w:t>подразумева се нов аутобус, тј. аутобус произведен у 2024. години и новији, са првом регистрацијом у 2024. године или касније, са целокупном конструкцијом и уграђеним агрегатима, склоповима, подсклоповима, деловима и другим уграђеним ставкама са хибридним или електро погоном. Уколико се година прве регистрације и година производње разликују за више од једне календарске године, за датум прве регистрације узима се 31.12. године производње.</w:t>
      </w:r>
    </w:p>
    <w:p w14:paraId="79A68844" w14:textId="77777777" w:rsidR="002200BA" w:rsidRDefault="002200BA" w:rsidP="0062502F">
      <w:pPr>
        <w:spacing w:line="276" w:lineRule="auto"/>
        <w:jc w:val="both"/>
        <w:rPr>
          <w:iCs/>
          <w:lang w:val="sr-Cyrl-RS"/>
        </w:rPr>
      </w:pP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2"/>
        <w:gridCol w:w="3206"/>
      </w:tblGrid>
      <w:tr w:rsidR="002E26FA" w:rsidRPr="00195A2B" w14:paraId="2BABA413" w14:textId="77777777" w:rsidTr="002E26FA">
        <w:trPr>
          <w:trHeight w:val="331"/>
          <w:jc w:val="center"/>
        </w:trPr>
        <w:tc>
          <w:tcPr>
            <w:tcW w:w="9318" w:type="dxa"/>
            <w:gridSpan w:val="2"/>
            <w:shd w:val="clear" w:color="auto" w:fill="auto"/>
            <w:vAlign w:val="center"/>
          </w:tcPr>
          <w:p w14:paraId="380ED26E" w14:textId="54F11F5A" w:rsidR="002E26FA" w:rsidRPr="00195A2B" w:rsidRDefault="00022668" w:rsidP="0062502F">
            <w:pPr>
              <w:jc w:val="center"/>
              <w:rPr>
                <w:rFonts w:eastAsia="Calibri"/>
                <w:lang w:val="sr-Cyrl-RS" w:eastAsia="zh-CN"/>
              </w:rPr>
            </w:pPr>
            <w:r>
              <w:rPr>
                <w:lang w:val="sr-Cyrl-RS"/>
              </w:rPr>
              <w:t>Број „нових е</w:t>
            </w:r>
            <w:r w:rsidRPr="002D593A">
              <w:rPr>
                <w:lang w:val="sr-Cyrl-RS"/>
              </w:rPr>
              <w:t>лектричн</w:t>
            </w:r>
            <w:r>
              <w:rPr>
                <w:lang w:val="sr-Cyrl-RS"/>
              </w:rPr>
              <w:t>их</w:t>
            </w:r>
            <w:r w:rsidRPr="002D593A">
              <w:rPr>
                <w:lang w:val="sr-Cyrl-RS"/>
              </w:rPr>
              <w:t xml:space="preserve"> и</w:t>
            </w:r>
            <w:r>
              <w:rPr>
                <w:lang w:val="sr-Cyrl-RS"/>
              </w:rPr>
              <w:t>/или</w:t>
            </w:r>
            <w:r w:rsidRPr="002D593A">
              <w:rPr>
                <w:lang w:val="sr-Cyrl-RS"/>
              </w:rPr>
              <w:t xml:space="preserve"> хибридн</w:t>
            </w:r>
            <w:r>
              <w:rPr>
                <w:lang w:val="sr-Cyrl-RS"/>
              </w:rPr>
              <w:t>их</w:t>
            </w:r>
            <w:r w:rsidRPr="002D593A">
              <w:rPr>
                <w:lang w:val="sr-Cyrl-RS"/>
              </w:rPr>
              <w:t xml:space="preserve"> возила</w:t>
            </w:r>
            <w:r>
              <w:rPr>
                <w:lang w:val="sr-Cyrl-RS"/>
              </w:rPr>
              <w:t>“</w:t>
            </w:r>
          </w:p>
        </w:tc>
      </w:tr>
      <w:tr w:rsidR="0062502F" w:rsidRPr="00195A2B" w14:paraId="53545E50" w14:textId="77777777" w:rsidTr="002E26FA">
        <w:trPr>
          <w:trHeight w:val="331"/>
          <w:jc w:val="center"/>
        </w:trPr>
        <w:tc>
          <w:tcPr>
            <w:tcW w:w="6112" w:type="dxa"/>
            <w:shd w:val="clear" w:color="auto" w:fill="auto"/>
            <w:vAlign w:val="center"/>
          </w:tcPr>
          <w:p w14:paraId="72C225C5" w14:textId="66C089DA" w:rsidR="0062502F" w:rsidRPr="00195A2B" w:rsidRDefault="002200BA" w:rsidP="0062502F">
            <w:pPr>
              <w:rPr>
                <w:rFonts w:eastAsia="Calibri"/>
                <w:lang w:val="sr-Cyrl-RS" w:eastAsia="zh-CN"/>
              </w:rPr>
            </w:pPr>
            <w:r>
              <w:rPr>
                <w:rFonts w:eastAsia="Calibri"/>
                <w:lang w:val="sr-Cyrl-RS" w:eastAsia="zh-CN"/>
              </w:rPr>
              <w:t>68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D2FF19A" w14:textId="40CD9888" w:rsidR="0062502F" w:rsidRPr="00195A2B" w:rsidRDefault="0062502F" w:rsidP="0062502F">
            <w:pPr>
              <w:jc w:val="center"/>
              <w:rPr>
                <w:rFonts w:eastAsia="Calibri"/>
                <w:lang w:val="sr-Cyrl-RS" w:eastAsia="zh-CN"/>
              </w:rPr>
            </w:pPr>
            <w:r>
              <w:rPr>
                <w:rFonts w:eastAsia="Calibri"/>
                <w:lang w:val="sr-Cyrl-RS" w:eastAsia="zh-CN"/>
              </w:rPr>
              <w:t xml:space="preserve">0 </w:t>
            </w:r>
            <w:r w:rsidRPr="00195A2B">
              <w:rPr>
                <w:rFonts w:eastAsia="Calibri"/>
                <w:lang w:val="sr-Cyrl-RS" w:eastAsia="zh-CN"/>
              </w:rPr>
              <w:t>пондера</w:t>
            </w:r>
          </w:p>
        </w:tc>
      </w:tr>
      <w:tr w:rsidR="0062502F" w:rsidRPr="00195A2B" w14:paraId="31249C7A" w14:textId="77777777" w:rsidTr="000B793C">
        <w:trPr>
          <w:trHeight w:val="350"/>
          <w:jc w:val="center"/>
        </w:trPr>
        <w:tc>
          <w:tcPr>
            <w:tcW w:w="6112" w:type="dxa"/>
            <w:shd w:val="clear" w:color="auto" w:fill="auto"/>
          </w:tcPr>
          <w:p w14:paraId="66B2F3D5" w14:textId="0DD4F8C2" w:rsidR="0062502F" w:rsidRPr="00195A2B" w:rsidRDefault="0062502F" w:rsidP="0062502F">
            <w:pPr>
              <w:rPr>
                <w:rFonts w:eastAsia="Calibri"/>
                <w:lang w:val="sr-Cyrl-RS" w:eastAsia="zh-CN"/>
              </w:rPr>
            </w:pPr>
            <w:r w:rsidRPr="00125D55">
              <w:rPr>
                <w:rFonts w:eastAsia="Calibri"/>
                <w:lang w:val="sr-Cyrl-RS" w:eastAsia="zh-CN"/>
              </w:rPr>
              <w:t xml:space="preserve">Од </w:t>
            </w:r>
            <w:r w:rsidR="002200BA">
              <w:rPr>
                <w:rFonts w:eastAsia="Calibri"/>
                <w:lang w:val="sr-Cyrl-RS" w:eastAsia="zh-CN"/>
              </w:rPr>
              <w:t>69</w:t>
            </w:r>
            <w:r w:rsidRPr="00125D55">
              <w:rPr>
                <w:rFonts w:eastAsia="Calibri"/>
                <w:lang w:val="sr-Cyrl-RS" w:eastAsia="zh-CN"/>
              </w:rPr>
              <w:t xml:space="preserve"> до </w:t>
            </w:r>
            <w:r w:rsidR="002200BA">
              <w:rPr>
                <w:rFonts w:eastAsia="Calibri"/>
                <w:lang w:val="sr-Cyrl-RS" w:eastAsia="zh-CN"/>
              </w:rPr>
              <w:t>75</w:t>
            </w:r>
          </w:p>
        </w:tc>
        <w:tc>
          <w:tcPr>
            <w:tcW w:w="3206" w:type="dxa"/>
            <w:shd w:val="clear" w:color="auto" w:fill="auto"/>
          </w:tcPr>
          <w:p w14:paraId="7A412B3C" w14:textId="136B112A" w:rsidR="0062502F" w:rsidRPr="00195A2B" w:rsidRDefault="0062502F" w:rsidP="0062502F">
            <w:pPr>
              <w:jc w:val="center"/>
              <w:rPr>
                <w:rFonts w:eastAsia="Calibri"/>
                <w:lang w:val="sr-Cyrl-RS" w:eastAsia="zh-CN"/>
              </w:rPr>
            </w:pPr>
            <w:r>
              <w:rPr>
                <w:rFonts w:eastAsia="Calibri"/>
                <w:lang w:val="sr-Cyrl-RS" w:eastAsia="zh-CN"/>
              </w:rPr>
              <w:t>5</w:t>
            </w:r>
            <w:r w:rsidRPr="000F42D7">
              <w:rPr>
                <w:rFonts w:eastAsia="Calibri"/>
                <w:lang w:val="sr-Cyrl-RS" w:eastAsia="zh-CN"/>
              </w:rPr>
              <w:t xml:space="preserve"> пондера</w:t>
            </w:r>
          </w:p>
        </w:tc>
      </w:tr>
      <w:tr w:rsidR="0062502F" w:rsidRPr="00195A2B" w14:paraId="36761B2F" w14:textId="77777777" w:rsidTr="000B793C">
        <w:trPr>
          <w:trHeight w:val="331"/>
          <w:jc w:val="center"/>
        </w:trPr>
        <w:tc>
          <w:tcPr>
            <w:tcW w:w="6112" w:type="dxa"/>
            <w:shd w:val="clear" w:color="auto" w:fill="auto"/>
          </w:tcPr>
          <w:p w14:paraId="6493BB93" w14:textId="03E747CD" w:rsidR="0062502F" w:rsidRPr="00195A2B" w:rsidRDefault="0062502F" w:rsidP="0062502F">
            <w:pPr>
              <w:rPr>
                <w:rFonts w:eastAsia="Calibri"/>
                <w:lang w:val="sr-Cyrl-RS" w:eastAsia="zh-CN"/>
              </w:rPr>
            </w:pPr>
            <w:r w:rsidRPr="00125D55">
              <w:rPr>
                <w:rFonts w:eastAsia="Calibri"/>
                <w:lang w:val="sr-Cyrl-RS" w:eastAsia="zh-CN"/>
              </w:rPr>
              <w:t xml:space="preserve">Од </w:t>
            </w:r>
            <w:r w:rsidR="002200BA">
              <w:rPr>
                <w:rFonts w:eastAsia="Calibri"/>
                <w:lang w:val="sr-Cyrl-RS" w:eastAsia="zh-CN"/>
              </w:rPr>
              <w:t>76</w:t>
            </w:r>
            <w:r w:rsidRPr="00125D55">
              <w:rPr>
                <w:rFonts w:eastAsia="Calibri"/>
                <w:lang w:val="sr-Cyrl-RS" w:eastAsia="zh-CN"/>
              </w:rPr>
              <w:t xml:space="preserve"> до </w:t>
            </w:r>
            <w:r w:rsidR="002200BA">
              <w:rPr>
                <w:rFonts w:eastAsia="Calibri"/>
                <w:lang w:val="sr-Cyrl-RS" w:eastAsia="zh-CN"/>
              </w:rPr>
              <w:t>80</w:t>
            </w:r>
          </w:p>
        </w:tc>
        <w:tc>
          <w:tcPr>
            <w:tcW w:w="3206" w:type="dxa"/>
            <w:shd w:val="clear" w:color="auto" w:fill="auto"/>
          </w:tcPr>
          <w:p w14:paraId="128FECA4" w14:textId="0B9E1DE0" w:rsidR="0062502F" w:rsidRPr="00195A2B" w:rsidRDefault="0062502F" w:rsidP="0062502F">
            <w:pPr>
              <w:jc w:val="center"/>
              <w:rPr>
                <w:rFonts w:eastAsia="Calibri"/>
                <w:lang w:val="sr-Cyrl-RS" w:eastAsia="zh-CN"/>
              </w:rPr>
            </w:pPr>
            <w:r>
              <w:rPr>
                <w:rFonts w:eastAsia="Calibri"/>
                <w:lang w:val="sr-Cyrl-RS" w:eastAsia="zh-CN"/>
              </w:rPr>
              <w:t>1</w:t>
            </w:r>
            <w:r w:rsidR="002200BA">
              <w:rPr>
                <w:rFonts w:eastAsia="Calibri"/>
                <w:lang w:val="sr-Cyrl-RS" w:eastAsia="zh-CN"/>
              </w:rPr>
              <w:t>0</w:t>
            </w:r>
            <w:r w:rsidRPr="000F42D7">
              <w:rPr>
                <w:rFonts w:eastAsia="Calibri"/>
                <w:lang w:val="sr-Cyrl-RS" w:eastAsia="zh-CN"/>
              </w:rPr>
              <w:t xml:space="preserve"> пондера</w:t>
            </w:r>
          </w:p>
        </w:tc>
      </w:tr>
      <w:tr w:rsidR="002200BA" w:rsidRPr="00195A2B" w14:paraId="2945FCCB" w14:textId="77777777" w:rsidTr="000B793C">
        <w:trPr>
          <w:trHeight w:val="331"/>
          <w:jc w:val="center"/>
        </w:trPr>
        <w:tc>
          <w:tcPr>
            <w:tcW w:w="6112" w:type="dxa"/>
            <w:shd w:val="clear" w:color="auto" w:fill="auto"/>
          </w:tcPr>
          <w:p w14:paraId="2736B23C" w14:textId="40F1DC0B" w:rsidR="002200BA" w:rsidRPr="00125D55" w:rsidRDefault="002200BA" w:rsidP="0062502F">
            <w:pPr>
              <w:rPr>
                <w:rFonts w:eastAsia="Calibri"/>
                <w:lang w:val="sr-Cyrl-RS" w:eastAsia="zh-CN"/>
              </w:rPr>
            </w:pPr>
            <w:r w:rsidRPr="00125D55">
              <w:rPr>
                <w:rFonts w:eastAsia="Calibri"/>
                <w:lang w:val="sr-Cyrl-RS" w:eastAsia="zh-CN"/>
              </w:rPr>
              <w:t xml:space="preserve">Од </w:t>
            </w:r>
            <w:r>
              <w:rPr>
                <w:rFonts w:eastAsia="Calibri"/>
                <w:lang w:val="sr-Cyrl-RS" w:eastAsia="zh-CN"/>
              </w:rPr>
              <w:t>81</w:t>
            </w:r>
            <w:r w:rsidRPr="00125D55">
              <w:rPr>
                <w:rFonts w:eastAsia="Calibri"/>
                <w:lang w:val="sr-Cyrl-RS" w:eastAsia="zh-CN"/>
              </w:rPr>
              <w:t xml:space="preserve"> до </w:t>
            </w:r>
            <w:r>
              <w:rPr>
                <w:rFonts w:eastAsia="Calibri"/>
                <w:lang w:val="sr-Cyrl-RS" w:eastAsia="zh-CN"/>
              </w:rPr>
              <w:t>85</w:t>
            </w:r>
          </w:p>
        </w:tc>
        <w:tc>
          <w:tcPr>
            <w:tcW w:w="3206" w:type="dxa"/>
            <w:shd w:val="clear" w:color="auto" w:fill="auto"/>
          </w:tcPr>
          <w:p w14:paraId="7860811C" w14:textId="0FAAABAB" w:rsidR="002200BA" w:rsidRDefault="002200BA" w:rsidP="0062502F">
            <w:pPr>
              <w:jc w:val="center"/>
              <w:rPr>
                <w:rFonts w:eastAsia="Calibri"/>
                <w:lang w:val="sr-Cyrl-RS" w:eastAsia="zh-CN"/>
              </w:rPr>
            </w:pPr>
            <w:r>
              <w:rPr>
                <w:rFonts w:eastAsia="Calibri"/>
                <w:lang w:val="sr-Cyrl-RS" w:eastAsia="zh-CN"/>
              </w:rPr>
              <w:t>15</w:t>
            </w:r>
            <w:r w:rsidRPr="000F42D7">
              <w:rPr>
                <w:rFonts w:eastAsia="Calibri"/>
                <w:lang w:val="sr-Cyrl-RS" w:eastAsia="zh-CN"/>
              </w:rPr>
              <w:t xml:space="preserve"> пондера</w:t>
            </w:r>
          </w:p>
        </w:tc>
      </w:tr>
      <w:tr w:rsidR="0062502F" w:rsidRPr="00195A2B" w14:paraId="5FCA004F" w14:textId="77777777" w:rsidTr="000B793C">
        <w:trPr>
          <w:trHeight w:val="331"/>
          <w:jc w:val="center"/>
        </w:trPr>
        <w:tc>
          <w:tcPr>
            <w:tcW w:w="6112" w:type="dxa"/>
            <w:shd w:val="clear" w:color="auto" w:fill="auto"/>
            <w:vAlign w:val="center"/>
          </w:tcPr>
          <w:p w14:paraId="20F933E4" w14:textId="0C0A70E7" w:rsidR="0062502F" w:rsidRPr="00195A2B" w:rsidRDefault="002200BA" w:rsidP="0062502F">
            <w:pPr>
              <w:rPr>
                <w:rFonts w:eastAsia="Calibri"/>
                <w:lang w:val="sr-Cyrl-RS" w:eastAsia="zh-CN"/>
              </w:rPr>
            </w:pPr>
            <w:r>
              <w:rPr>
                <w:rFonts w:eastAsia="Calibri"/>
                <w:lang w:val="sr-Cyrl-RS" w:eastAsia="zh-CN"/>
              </w:rPr>
              <w:t>86</w:t>
            </w:r>
            <w:r w:rsidR="0062502F" w:rsidRPr="007C3E7C">
              <w:rPr>
                <w:rFonts w:eastAsia="Calibri"/>
                <w:lang w:val="sr-Cyrl-RS" w:eastAsia="zh-CN"/>
              </w:rPr>
              <w:t xml:space="preserve"> и више</w:t>
            </w:r>
          </w:p>
        </w:tc>
        <w:tc>
          <w:tcPr>
            <w:tcW w:w="3206" w:type="dxa"/>
            <w:shd w:val="clear" w:color="auto" w:fill="auto"/>
          </w:tcPr>
          <w:p w14:paraId="134882AE" w14:textId="2E25D50B" w:rsidR="0062502F" w:rsidRPr="00195A2B" w:rsidRDefault="002200BA" w:rsidP="0062502F">
            <w:pPr>
              <w:jc w:val="center"/>
              <w:rPr>
                <w:rFonts w:eastAsia="Calibri"/>
                <w:lang w:val="sr-Cyrl-RS" w:eastAsia="zh-CN"/>
              </w:rPr>
            </w:pPr>
            <w:r>
              <w:rPr>
                <w:rFonts w:eastAsia="Calibri"/>
                <w:lang w:val="sr-Cyrl-RS" w:eastAsia="zh-CN"/>
              </w:rPr>
              <w:t>2</w:t>
            </w:r>
            <w:r w:rsidR="00A05D4F">
              <w:rPr>
                <w:rFonts w:eastAsia="Calibri"/>
                <w:lang w:val="sr-Cyrl-RS" w:eastAsia="zh-CN"/>
              </w:rPr>
              <w:t>5</w:t>
            </w:r>
            <w:r w:rsidR="0062502F" w:rsidRPr="000F42D7">
              <w:rPr>
                <w:rFonts w:eastAsia="Calibri"/>
                <w:lang w:val="sr-Cyrl-RS" w:eastAsia="zh-CN"/>
              </w:rPr>
              <w:t xml:space="preserve"> пондера</w:t>
            </w:r>
          </w:p>
        </w:tc>
      </w:tr>
    </w:tbl>
    <w:p w14:paraId="35667E7A" w14:textId="77777777" w:rsidR="002E26FA" w:rsidRDefault="002E26FA" w:rsidP="0062502F">
      <w:pPr>
        <w:spacing w:line="276" w:lineRule="auto"/>
        <w:jc w:val="both"/>
        <w:rPr>
          <w:iCs/>
          <w:lang w:val="sr-Cyrl-RS"/>
        </w:rPr>
      </w:pPr>
    </w:p>
    <w:p w14:paraId="5717BF4F" w14:textId="0A817E03" w:rsidR="002B6E5E" w:rsidRPr="00B202FD" w:rsidRDefault="002B6E5E" w:rsidP="002B6E5E">
      <w:pPr>
        <w:spacing w:line="276" w:lineRule="auto"/>
        <w:jc w:val="both"/>
        <w:rPr>
          <w:lang w:val="sr-Cyrl-RS"/>
        </w:rPr>
      </w:pPr>
      <w:proofErr w:type="spellStart"/>
      <w:r w:rsidRPr="00785F6F">
        <w:rPr>
          <w:b/>
          <w:bCs/>
        </w:rPr>
        <w:t>Резервни</w:t>
      </w:r>
      <w:proofErr w:type="spellEnd"/>
      <w:r w:rsidRPr="00785F6F">
        <w:rPr>
          <w:b/>
          <w:bCs/>
        </w:rPr>
        <w:t xml:space="preserve"> </w:t>
      </w:r>
      <w:proofErr w:type="spellStart"/>
      <w:r w:rsidRPr="00785F6F">
        <w:rPr>
          <w:b/>
          <w:bCs/>
        </w:rPr>
        <w:t>критеријум</w:t>
      </w:r>
      <w:proofErr w:type="spellEnd"/>
      <w:r w:rsidRPr="00785F6F">
        <w:rPr>
          <w:lang w:val="sr-Cyrl-RS"/>
        </w:rPr>
        <w:t>:</w:t>
      </w:r>
      <w:r w:rsidRPr="00785F6F">
        <w:t xml:space="preserve"> У </w:t>
      </w:r>
      <w:proofErr w:type="spellStart"/>
      <w:r w:rsidRPr="00785F6F">
        <w:t>случају</w:t>
      </w:r>
      <w:proofErr w:type="spellEnd"/>
      <w:r w:rsidRPr="00785F6F">
        <w:t xml:space="preserve"> </w:t>
      </w:r>
      <w:proofErr w:type="spellStart"/>
      <w:r w:rsidRPr="00785F6F">
        <w:t>да</w:t>
      </w:r>
      <w:proofErr w:type="spellEnd"/>
      <w:r w:rsidRPr="00785F6F">
        <w:t xml:space="preserve"> </w:t>
      </w:r>
      <w:proofErr w:type="spellStart"/>
      <w:r w:rsidRPr="00785F6F">
        <w:t>постоје</w:t>
      </w:r>
      <w:proofErr w:type="spellEnd"/>
      <w:r w:rsidRPr="00785F6F">
        <w:t xml:space="preserve"> </w:t>
      </w:r>
      <w:proofErr w:type="spellStart"/>
      <w:r w:rsidRPr="00785F6F">
        <w:t>две</w:t>
      </w:r>
      <w:proofErr w:type="spellEnd"/>
      <w:r w:rsidRPr="00785F6F">
        <w:t xml:space="preserve"> </w:t>
      </w:r>
      <w:proofErr w:type="spellStart"/>
      <w:r w:rsidRPr="00785F6F">
        <w:t>или</w:t>
      </w:r>
      <w:proofErr w:type="spellEnd"/>
      <w:r w:rsidRPr="00785F6F">
        <w:t xml:space="preserve"> </w:t>
      </w:r>
      <w:proofErr w:type="spellStart"/>
      <w:r w:rsidRPr="00785F6F">
        <w:t>више</w:t>
      </w:r>
      <w:proofErr w:type="spellEnd"/>
      <w:r w:rsidRPr="00785F6F">
        <w:t xml:space="preserve"> </w:t>
      </w:r>
      <w:proofErr w:type="spellStart"/>
      <w:r w:rsidRPr="00785F6F">
        <w:t>понуда</w:t>
      </w:r>
      <w:proofErr w:type="spellEnd"/>
      <w:r w:rsidRPr="00785F6F">
        <w:t xml:space="preserve"> </w:t>
      </w:r>
      <w:proofErr w:type="spellStart"/>
      <w:r w:rsidRPr="00785F6F">
        <w:t>са</w:t>
      </w:r>
      <w:proofErr w:type="spellEnd"/>
      <w:r w:rsidRPr="00785F6F">
        <w:t xml:space="preserve"> </w:t>
      </w:r>
      <w:proofErr w:type="spellStart"/>
      <w:r w:rsidRPr="00785F6F">
        <w:t>истим</w:t>
      </w:r>
      <w:proofErr w:type="spellEnd"/>
      <w:r w:rsidRPr="00785F6F">
        <w:t xml:space="preserve"> </w:t>
      </w:r>
      <w:proofErr w:type="spellStart"/>
      <w:r w:rsidRPr="00785F6F">
        <w:t>бројем</w:t>
      </w:r>
      <w:proofErr w:type="spellEnd"/>
      <w:r w:rsidRPr="00785F6F">
        <w:t xml:space="preserve"> </w:t>
      </w:r>
      <w:proofErr w:type="spellStart"/>
      <w:r w:rsidRPr="00785F6F">
        <w:t>пондера</w:t>
      </w:r>
      <w:proofErr w:type="spellEnd"/>
      <w:r w:rsidRPr="00785F6F">
        <w:t xml:space="preserve">, </w:t>
      </w:r>
      <w:proofErr w:type="spellStart"/>
      <w:r w:rsidRPr="00785F6F">
        <w:t>наручилац</w:t>
      </w:r>
      <w:proofErr w:type="spellEnd"/>
      <w:r w:rsidRPr="00785F6F">
        <w:t xml:space="preserve"> </w:t>
      </w:r>
      <w:proofErr w:type="spellStart"/>
      <w:r w:rsidRPr="00785F6F">
        <w:t>ће</w:t>
      </w:r>
      <w:proofErr w:type="spellEnd"/>
      <w:r w:rsidRPr="00785F6F">
        <w:t xml:space="preserve"> </w:t>
      </w:r>
      <w:proofErr w:type="spellStart"/>
      <w:r w:rsidRPr="00785F6F">
        <w:t>доделити</w:t>
      </w:r>
      <w:proofErr w:type="spellEnd"/>
      <w:r w:rsidRPr="00785F6F">
        <w:t xml:space="preserve"> </w:t>
      </w:r>
      <w:proofErr w:type="spellStart"/>
      <w:r w:rsidRPr="00785F6F">
        <w:t>уговор</w:t>
      </w:r>
      <w:proofErr w:type="spellEnd"/>
      <w:r w:rsidRPr="00785F6F">
        <w:t xml:space="preserve"> </w:t>
      </w:r>
      <w:proofErr w:type="spellStart"/>
      <w:r w:rsidRPr="00785F6F">
        <w:t>понуђачу</w:t>
      </w:r>
      <w:proofErr w:type="spellEnd"/>
      <w:r w:rsidRPr="00785F6F">
        <w:t xml:space="preserve"> </w:t>
      </w:r>
      <w:proofErr w:type="spellStart"/>
      <w:r w:rsidRPr="00785F6F">
        <w:t>који</w:t>
      </w:r>
      <w:proofErr w:type="spellEnd"/>
      <w:r w:rsidRPr="00785F6F">
        <w:t xml:space="preserve"> </w:t>
      </w:r>
      <w:proofErr w:type="spellStart"/>
      <w:r w:rsidRPr="00785F6F">
        <w:t>понуди</w:t>
      </w:r>
      <w:proofErr w:type="spellEnd"/>
      <w:r w:rsidRPr="00785F6F">
        <w:t xml:space="preserve"> </w:t>
      </w:r>
      <w:proofErr w:type="spellStart"/>
      <w:r w:rsidRPr="00785F6F">
        <w:t>више</w:t>
      </w:r>
      <w:proofErr w:type="spellEnd"/>
      <w:r w:rsidRPr="00785F6F">
        <w:rPr>
          <w:lang w:val="sr-Cyrl-RS"/>
        </w:rPr>
        <w:t xml:space="preserve"> </w:t>
      </w:r>
      <w:proofErr w:type="spellStart"/>
      <w:r w:rsidRPr="00785F6F">
        <w:t>електричних</w:t>
      </w:r>
      <w:proofErr w:type="spellEnd"/>
      <w:r w:rsidRPr="00785F6F">
        <w:t xml:space="preserve"> и/</w:t>
      </w:r>
      <w:proofErr w:type="spellStart"/>
      <w:r w:rsidRPr="00785F6F">
        <w:t>или</w:t>
      </w:r>
      <w:proofErr w:type="spellEnd"/>
      <w:r w:rsidRPr="00785F6F">
        <w:t xml:space="preserve"> </w:t>
      </w:r>
      <w:proofErr w:type="spellStart"/>
      <w:r w:rsidRPr="00785F6F">
        <w:t>хибридних</w:t>
      </w:r>
      <w:proofErr w:type="spellEnd"/>
      <w:r w:rsidRPr="00785F6F">
        <w:t xml:space="preserve"> </w:t>
      </w:r>
      <w:proofErr w:type="spellStart"/>
      <w:r w:rsidRPr="00785F6F">
        <w:t>возила</w:t>
      </w:r>
      <w:proofErr w:type="spellEnd"/>
      <w:r w:rsidR="00B202FD">
        <w:rPr>
          <w:lang w:val="sr-Cyrl-RS"/>
        </w:rPr>
        <w:t>.</w:t>
      </w:r>
    </w:p>
    <w:p w14:paraId="4513278B" w14:textId="77777777" w:rsidR="002B6E5E" w:rsidRPr="00785F6F" w:rsidRDefault="002B6E5E" w:rsidP="002B6E5E">
      <w:pPr>
        <w:spacing w:line="276" w:lineRule="auto"/>
        <w:jc w:val="both"/>
        <w:rPr>
          <w:lang w:val="sr-Cyrl-CS"/>
        </w:rPr>
      </w:pPr>
    </w:p>
    <w:p w14:paraId="0AE0E447" w14:textId="77777777" w:rsidR="002B6E5E" w:rsidRPr="00785F6F" w:rsidRDefault="002B6E5E" w:rsidP="002B6E5E">
      <w:pPr>
        <w:spacing w:line="276" w:lineRule="auto"/>
        <w:jc w:val="both"/>
        <w:rPr>
          <w:lang w:val="sr-Cyrl-RS"/>
        </w:rPr>
      </w:pPr>
      <w:proofErr w:type="spellStart"/>
      <w:r w:rsidRPr="00785F6F">
        <w:rPr>
          <w:b/>
          <w:bCs/>
        </w:rPr>
        <w:t>Примена</w:t>
      </w:r>
      <w:proofErr w:type="spellEnd"/>
      <w:r w:rsidRPr="00785F6F">
        <w:rPr>
          <w:b/>
          <w:bCs/>
        </w:rPr>
        <w:t xml:space="preserve"> </w:t>
      </w:r>
      <w:proofErr w:type="spellStart"/>
      <w:r w:rsidRPr="00785F6F">
        <w:rPr>
          <w:b/>
          <w:bCs/>
        </w:rPr>
        <w:t>жреба</w:t>
      </w:r>
      <w:proofErr w:type="spellEnd"/>
      <w:r w:rsidRPr="00785F6F">
        <w:rPr>
          <w:lang w:val="sr-Cyrl-RS"/>
        </w:rPr>
        <w:t>:</w:t>
      </w:r>
      <w:r w:rsidRPr="00785F6F">
        <w:t xml:space="preserve"> </w:t>
      </w:r>
      <w:proofErr w:type="spellStart"/>
      <w:r w:rsidRPr="00785F6F">
        <w:t>Уколико</w:t>
      </w:r>
      <w:proofErr w:type="spellEnd"/>
      <w:r w:rsidRPr="00785F6F">
        <w:t xml:space="preserve"> </w:t>
      </w:r>
      <w:proofErr w:type="spellStart"/>
      <w:r w:rsidRPr="00785F6F">
        <w:t>након</w:t>
      </w:r>
      <w:proofErr w:type="spellEnd"/>
      <w:r w:rsidRPr="00785F6F">
        <w:t xml:space="preserve"> </w:t>
      </w:r>
      <w:proofErr w:type="spellStart"/>
      <w:r w:rsidRPr="00785F6F">
        <w:t>рангирања</w:t>
      </w:r>
      <w:proofErr w:type="spellEnd"/>
      <w:r w:rsidRPr="00785F6F">
        <w:t xml:space="preserve"> </w:t>
      </w:r>
      <w:proofErr w:type="spellStart"/>
      <w:r w:rsidRPr="00785F6F">
        <w:t>на</w:t>
      </w:r>
      <w:proofErr w:type="spellEnd"/>
      <w:r w:rsidRPr="00785F6F">
        <w:t xml:space="preserve"> </w:t>
      </w:r>
      <w:proofErr w:type="spellStart"/>
      <w:r w:rsidRPr="00785F6F">
        <w:t>основу</w:t>
      </w:r>
      <w:proofErr w:type="spellEnd"/>
      <w:r w:rsidRPr="00785F6F">
        <w:t xml:space="preserve"> </w:t>
      </w:r>
      <w:proofErr w:type="spellStart"/>
      <w:r w:rsidRPr="00785F6F">
        <w:t>критеријума</w:t>
      </w:r>
      <w:proofErr w:type="spellEnd"/>
      <w:r w:rsidRPr="00785F6F">
        <w:t xml:space="preserve"> </w:t>
      </w:r>
      <w:proofErr w:type="spellStart"/>
      <w:r w:rsidRPr="00785F6F">
        <w:t>за</w:t>
      </w:r>
      <w:proofErr w:type="spellEnd"/>
      <w:r w:rsidRPr="00785F6F">
        <w:t xml:space="preserve"> </w:t>
      </w:r>
      <w:proofErr w:type="spellStart"/>
      <w:r w:rsidRPr="00785F6F">
        <w:t>доделу</w:t>
      </w:r>
      <w:proofErr w:type="spellEnd"/>
      <w:r w:rsidRPr="00785F6F">
        <w:t xml:space="preserve"> и </w:t>
      </w:r>
      <w:proofErr w:type="spellStart"/>
      <w:r w:rsidRPr="00785F6F">
        <w:t>резервних</w:t>
      </w:r>
      <w:proofErr w:type="spellEnd"/>
      <w:r w:rsidRPr="00785F6F">
        <w:t xml:space="preserve"> </w:t>
      </w:r>
      <w:proofErr w:type="spellStart"/>
      <w:r w:rsidRPr="00785F6F">
        <w:t>критеријума</w:t>
      </w:r>
      <w:proofErr w:type="spellEnd"/>
      <w:r w:rsidRPr="00785F6F">
        <w:t xml:space="preserve"> (</w:t>
      </w:r>
      <w:proofErr w:type="spellStart"/>
      <w:r w:rsidRPr="00785F6F">
        <w:t>ако</w:t>
      </w:r>
      <w:proofErr w:type="spellEnd"/>
      <w:r w:rsidRPr="00785F6F">
        <w:t xml:space="preserve"> </w:t>
      </w:r>
      <w:proofErr w:type="spellStart"/>
      <w:r w:rsidRPr="00785F6F">
        <w:t>су</w:t>
      </w:r>
      <w:proofErr w:type="spellEnd"/>
      <w:r w:rsidRPr="00785F6F">
        <w:t xml:space="preserve"> </w:t>
      </w:r>
      <w:proofErr w:type="spellStart"/>
      <w:r w:rsidRPr="00785F6F">
        <w:t>дефинисани</w:t>
      </w:r>
      <w:proofErr w:type="spellEnd"/>
      <w:r w:rsidRPr="00785F6F">
        <w:t xml:space="preserve">) </w:t>
      </w:r>
      <w:proofErr w:type="spellStart"/>
      <w:r w:rsidRPr="00785F6F">
        <w:t>није</w:t>
      </w:r>
      <w:proofErr w:type="spellEnd"/>
      <w:r w:rsidRPr="00785F6F">
        <w:t xml:space="preserve"> </w:t>
      </w:r>
      <w:proofErr w:type="spellStart"/>
      <w:r w:rsidRPr="00785F6F">
        <w:t>могуће</w:t>
      </w:r>
      <w:proofErr w:type="spellEnd"/>
      <w:r w:rsidRPr="00785F6F">
        <w:t xml:space="preserve"> </w:t>
      </w:r>
      <w:proofErr w:type="spellStart"/>
      <w:r w:rsidRPr="00785F6F">
        <w:t>донети</w:t>
      </w:r>
      <w:proofErr w:type="spellEnd"/>
      <w:r w:rsidRPr="00785F6F">
        <w:t xml:space="preserve"> </w:t>
      </w:r>
      <w:proofErr w:type="spellStart"/>
      <w:r w:rsidRPr="00785F6F">
        <w:t>одлуку</w:t>
      </w:r>
      <w:proofErr w:type="spellEnd"/>
      <w:r w:rsidRPr="00785F6F">
        <w:t xml:space="preserve"> о </w:t>
      </w:r>
      <w:proofErr w:type="spellStart"/>
      <w:r w:rsidRPr="00785F6F">
        <w:t>додели</w:t>
      </w:r>
      <w:proofErr w:type="spellEnd"/>
      <w:r w:rsidRPr="00785F6F">
        <w:t xml:space="preserve"> </w:t>
      </w:r>
      <w:proofErr w:type="spellStart"/>
      <w:r w:rsidRPr="00785F6F">
        <w:t>уговора</w:t>
      </w:r>
      <w:proofErr w:type="spellEnd"/>
      <w:r w:rsidRPr="00785F6F">
        <w:t xml:space="preserve">, </w:t>
      </w:r>
      <w:proofErr w:type="spellStart"/>
      <w:r w:rsidRPr="00785F6F">
        <w:t>наручилац</w:t>
      </w:r>
      <w:proofErr w:type="spellEnd"/>
      <w:r w:rsidRPr="00785F6F">
        <w:t xml:space="preserve"> </w:t>
      </w:r>
      <w:proofErr w:type="spellStart"/>
      <w:r w:rsidRPr="00785F6F">
        <w:t>ће</w:t>
      </w:r>
      <w:proofErr w:type="spellEnd"/>
      <w:r w:rsidRPr="00785F6F">
        <w:t xml:space="preserve"> </w:t>
      </w:r>
      <w:proofErr w:type="spellStart"/>
      <w:r w:rsidRPr="00785F6F">
        <w:t>уговор</w:t>
      </w:r>
      <w:proofErr w:type="spellEnd"/>
      <w:r w:rsidRPr="00785F6F">
        <w:t xml:space="preserve"> </w:t>
      </w:r>
      <w:proofErr w:type="spellStart"/>
      <w:r w:rsidRPr="00785F6F">
        <w:t>доделити</w:t>
      </w:r>
      <w:proofErr w:type="spellEnd"/>
      <w:r w:rsidRPr="00785F6F">
        <w:t xml:space="preserve"> </w:t>
      </w:r>
      <w:proofErr w:type="spellStart"/>
      <w:r w:rsidRPr="00785F6F">
        <w:t>понуђачу</w:t>
      </w:r>
      <w:proofErr w:type="spellEnd"/>
      <w:r w:rsidRPr="00785F6F">
        <w:t xml:space="preserve"> </w:t>
      </w:r>
      <w:proofErr w:type="spellStart"/>
      <w:r w:rsidRPr="00785F6F">
        <w:t>који</w:t>
      </w:r>
      <w:proofErr w:type="spellEnd"/>
      <w:r w:rsidRPr="00785F6F">
        <w:t xml:space="preserve"> </w:t>
      </w:r>
      <w:proofErr w:type="spellStart"/>
      <w:r w:rsidRPr="00785F6F">
        <w:t>буде</w:t>
      </w:r>
      <w:proofErr w:type="spellEnd"/>
      <w:r w:rsidRPr="00785F6F">
        <w:t xml:space="preserve"> </w:t>
      </w:r>
      <w:proofErr w:type="spellStart"/>
      <w:r w:rsidRPr="00785F6F">
        <w:t>извучен</w:t>
      </w:r>
      <w:proofErr w:type="spellEnd"/>
      <w:r w:rsidRPr="00785F6F">
        <w:t xml:space="preserve"> </w:t>
      </w:r>
      <w:proofErr w:type="spellStart"/>
      <w:r w:rsidRPr="00785F6F">
        <w:t>путем</w:t>
      </w:r>
      <w:proofErr w:type="spellEnd"/>
      <w:r w:rsidRPr="00785F6F">
        <w:t xml:space="preserve"> </w:t>
      </w:r>
      <w:proofErr w:type="spellStart"/>
      <w:r w:rsidRPr="00785F6F">
        <w:t>жреба</w:t>
      </w:r>
      <w:proofErr w:type="spellEnd"/>
      <w:r w:rsidRPr="00785F6F">
        <w:t xml:space="preserve">. </w:t>
      </w:r>
      <w:proofErr w:type="spellStart"/>
      <w:r w:rsidRPr="00785F6F">
        <w:t>Наручилац</w:t>
      </w:r>
      <w:proofErr w:type="spellEnd"/>
      <w:r w:rsidRPr="00785F6F">
        <w:t xml:space="preserve"> </w:t>
      </w:r>
      <w:proofErr w:type="spellStart"/>
      <w:r w:rsidRPr="00785F6F">
        <w:t>ће</w:t>
      </w:r>
      <w:proofErr w:type="spellEnd"/>
      <w:r w:rsidRPr="00785F6F">
        <w:t xml:space="preserve"> </w:t>
      </w:r>
      <w:proofErr w:type="spellStart"/>
      <w:r w:rsidRPr="00785F6F">
        <w:t>обавестити</w:t>
      </w:r>
      <w:proofErr w:type="spellEnd"/>
      <w:r w:rsidRPr="00785F6F">
        <w:t xml:space="preserve"> </w:t>
      </w:r>
      <w:proofErr w:type="spellStart"/>
      <w:r w:rsidRPr="00785F6F">
        <w:t>све</w:t>
      </w:r>
      <w:proofErr w:type="spellEnd"/>
      <w:r w:rsidRPr="00785F6F">
        <w:t xml:space="preserve"> </w:t>
      </w:r>
      <w:proofErr w:type="spellStart"/>
      <w:r w:rsidRPr="00785F6F">
        <w:t>понуђаче</w:t>
      </w:r>
      <w:proofErr w:type="spellEnd"/>
      <w:r w:rsidRPr="00785F6F">
        <w:t xml:space="preserve"> </w:t>
      </w:r>
      <w:proofErr w:type="spellStart"/>
      <w:r w:rsidRPr="00785F6F">
        <w:t>који</w:t>
      </w:r>
      <w:proofErr w:type="spellEnd"/>
      <w:r w:rsidRPr="00785F6F">
        <w:t xml:space="preserve"> </w:t>
      </w:r>
      <w:proofErr w:type="spellStart"/>
      <w:r w:rsidRPr="00785F6F">
        <w:t>су</w:t>
      </w:r>
      <w:proofErr w:type="spellEnd"/>
      <w:r w:rsidRPr="00785F6F">
        <w:t xml:space="preserve"> </w:t>
      </w:r>
      <w:proofErr w:type="spellStart"/>
      <w:r w:rsidRPr="00785F6F">
        <w:t>поднели</w:t>
      </w:r>
      <w:proofErr w:type="spellEnd"/>
      <w:r w:rsidRPr="00785F6F">
        <w:t xml:space="preserve"> </w:t>
      </w:r>
      <w:proofErr w:type="spellStart"/>
      <w:r w:rsidRPr="00785F6F">
        <w:t>понуде</w:t>
      </w:r>
      <w:proofErr w:type="spellEnd"/>
      <w:r w:rsidRPr="00785F6F">
        <w:t xml:space="preserve"> о </w:t>
      </w:r>
      <w:proofErr w:type="spellStart"/>
      <w:r w:rsidRPr="00785F6F">
        <w:t>датуму</w:t>
      </w:r>
      <w:proofErr w:type="spellEnd"/>
      <w:r w:rsidRPr="00785F6F">
        <w:t xml:space="preserve"> </w:t>
      </w:r>
      <w:proofErr w:type="spellStart"/>
      <w:r w:rsidRPr="00785F6F">
        <w:t>када</w:t>
      </w:r>
      <w:proofErr w:type="spellEnd"/>
      <w:r w:rsidRPr="00785F6F">
        <w:t xml:space="preserve"> </w:t>
      </w:r>
      <w:proofErr w:type="spellStart"/>
      <w:r w:rsidRPr="00785F6F">
        <w:t>ће</w:t>
      </w:r>
      <w:proofErr w:type="spellEnd"/>
      <w:r w:rsidRPr="00785F6F">
        <w:t xml:space="preserve"> </w:t>
      </w:r>
      <w:proofErr w:type="spellStart"/>
      <w:r w:rsidRPr="00785F6F">
        <w:t>се</w:t>
      </w:r>
      <w:proofErr w:type="spellEnd"/>
      <w:r w:rsidRPr="00785F6F">
        <w:t xml:space="preserve"> </w:t>
      </w:r>
      <w:proofErr w:type="spellStart"/>
      <w:r w:rsidRPr="00785F6F">
        <w:t>одржати</w:t>
      </w:r>
      <w:proofErr w:type="spellEnd"/>
      <w:r w:rsidRPr="00785F6F">
        <w:rPr>
          <w:lang w:val="sr-Cyrl-RS"/>
        </w:rPr>
        <w:t xml:space="preserve"> </w:t>
      </w:r>
      <w:proofErr w:type="spellStart"/>
      <w:r w:rsidRPr="00785F6F">
        <w:t>извлачење</w:t>
      </w:r>
      <w:proofErr w:type="spellEnd"/>
      <w:r w:rsidRPr="00785F6F">
        <w:t xml:space="preserve"> </w:t>
      </w:r>
      <w:proofErr w:type="spellStart"/>
      <w:r w:rsidRPr="00785F6F">
        <w:t>путем</w:t>
      </w:r>
      <w:proofErr w:type="spellEnd"/>
      <w:r w:rsidRPr="00785F6F">
        <w:t xml:space="preserve"> </w:t>
      </w:r>
      <w:proofErr w:type="spellStart"/>
      <w:r w:rsidRPr="00785F6F">
        <w:t>жреба</w:t>
      </w:r>
      <w:proofErr w:type="spellEnd"/>
      <w:r w:rsidRPr="00785F6F">
        <w:t xml:space="preserve">. </w:t>
      </w:r>
      <w:proofErr w:type="spellStart"/>
      <w:r w:rsidRPr="00785F6F">
        <w:lastRenderedPageBreak/>
        <w:t>Жребом</w:t>
      </w:r>
      <w:proofErr w:type="spellEnd"/>
      <w:r w:rsidRPr="00785F6F">
        <w:t xml:space="preserve"> </w:t>
      </w:r>
      <w:proofErr w:type="spellStart"/>
      <w:r w:rsidRPr="00785F6F">
        <w:t>ће</w:t>
      </w:r>
      <w:proofErr w:type="spellEnd"/>
      <w:r w:rsidRPr="00785F6F">
        <w:t xml:space="preserve"> </w:t>
      </w:r>
      <w:proofErr w:type="spellStart"/>
      <w:r w:rsidRPr="00785F6F">
        <w:t>бити</w:t>
      </w:r>
      <w:proofErr w:type="spellEnd"/>
      <w:r w:rsidRPr="00785F6F">
        <w:t xml:space="preserve"> </w:t>
      </w:r>
      <w:proofErr w:type="spellStart"/>
      <w:r w:rsidRPr="00785F6F">
        <w:t>обухваћене</w:t>
      </w:r>
      <w:proofErr w:type="spellEnd"/>
      <w:r w:rsidRPr="00785F6F">
        <w:t xml:space="preserve"> </w:t>
      </w:r>
      <w:proofErr w:type="spellStart"/>
      <w:r w:rsidRPr="00785F6F">
        <w:t>само</w:t>
      </w:r>
      <w:proofErr w:type="spellEnd"/>
      <w:r w:rsidRPr="00785F6F">
        <w:t xml:space="preserve"> </w:t>
      </w:r>
      <w:proofErr w:type="spellStart"/>
      <w:r w:rsidRPr="00785F6F">
        <w:t>оне</w:t>
      </w:r>
      <w:proofErr w:type="spellEnd"/>
      <w:r w:rsidRPr="00785F6F">
        <w:t xml:space="preserve"> </w:t>
      </w:r>
      <w:proofErr w:type="spellStart"/>
      <w:r w:rsidRPr="00785F6F">
        <w:t>понуде</w:t>
      </w:r>
      <w:proofErr w:type="spellEnd"/>
      <w:r w:rsidRPr="00785F6F">
        <w:t xml:space="preserve"> </w:t>
      </w:r>
      <w:proofErr w:type="spellStart"/>
      <w:r w:rsidRPr="00785F6F">
        <w:t>које</w:t>
      </w:r>
      <w:proofErr w:type="spellEnd"/>
      <w:r w:rsidRPr="00785F6F">
        <w:t xml:space="preserve"> </w:t>
      </w:r>
      <w:proofErr w:type="spellStart"/>
      <w:r w:rsidRPr="00785F6F">
        <w:t>су</w:t>
      </w:r>
      <w:proofErr w:type="spellEnd"/>
      <w:r w:rsidRPr="00785F6F">
        <w:t xml:space="preserve"> </w:t>
      </w:r>
      <w:proofErr w:type="spellStart"/>
      <w:r w:rsidRPr="00785F6F">
        <w:t>најповољније</w:t>
      </w:r>
      <w:proofErr w:type="spellEnd"/>
      <w:r w:rsidRPr="00785F6F">
        <w:t xml:space="preserve"> </w:t>
      </w:r>
      <w:proofErr w:type="spellStart"/>
      <w:r w:rsidRPr="00785F6F">
        <w:t>након</w:t>
      </w:r>
      <w:proofErr w:type="spellEnd"/>
      <w:r w:rsidRPr="00785F6F">
        <w:t xml:space="preserve"> </w:t>
      </w:r>
      <w:proofErr w:type="spellStart"/>
      <w:r w:rsidRPr="00785F6F">
        <w:t>рангирања</w:t>
      </w:r>
      <w:proofErr w:type="spellEnd"/>
      <w:r w:rsidRPr="00785F6F">
        <w:t xml:space="preserve"> </w:t>
      </w:r>
      <w:proofErr w:type="spellStart"/>
      <w:r w:rsidRPr="00785F6F">
        <w:t>на</w:t>
      </w:r>
      <w:proofErr w:type="spellEnd"/>
      <w:r w:rsidRPr="00785F6F">
        <w:t xml:space="preserve"> </w:t>
      </w:r>
      <w:proofErr w:type="spellStart"/>
      <w:r w:rsidRPr="00785F6F">
        <w:t>основу</w:t>
      </w:r>
      <w:proofErr w:type="spellEnd"/>
      <w:r w:rsidRPr="00785F6F">
        <w:t xml:space="preserve"> </w:t>
      </w:r>
      <w:proofErr w:type="spellStart"/>
      <w:r w:rsidRPr="00785F6F">
        <w:t>критеријума</w:t>
      </w:r>
      <w:proofErr w:type="spellEnd"/>
      <w:r w:rsidRPr="00785F6F">
        <w:t xml:space="preserve"> </w:t>
      </w:r>
      <w:proofErr w:type="spellStart"/>
      <w:r w:rsidRPr="00785F6F">
        <w:t>за</w:t>
      </w:r>
      <w:proofErr w:type="spellEnd"/>
      <w:r w:rsidRPr="00785F6F">
        <w:t xml:space="preserve"> </w:t>
      </w:r>
      <w:proofErr w:type="spellStart"/>
      <w:r w:rsidRPr="00785F6F">
        <w:t>доделу</w:t>
      </w:r>
      <w:proofErr w:type="spellEnd"/>
      <w:r w:rsidRPr="00785F6F">
        <w:t xml:space="preserve"> и </w:t>
      </w:r>
      <w:proofErr w:type="spellStart"/>
      <w:r w:rsidRPr="00785F6F">
        <w:t>резервних</w:t>
      </w:r>
      <w:proofErr w:type="spellEnd"/>
      <w:r w:rsidRPr="00785F6F">
        <w:t xml:space="preserve"> </w:t>
      </w:r>
      <w:proofErr w:type="spellStart"/>
      <w:r w:rsidRPr="00785F6F">
        <w:t>критеријума</w:t>
      </w:r>
      <w:proofErr w:type="spellEnd"/>
      <w:r w:rsidRPr="00785F6F">
        <w:t xml:space="preserve">. </w:t>
      </w:r>
      <w:proofErr w:type="spellStart"/>
      <w:r w:rsidRPr="00785F6F">
        <w:t>Извлачење</w:t>
      </w:r>
      <w:proofErr w:type="spellEnd"/>
      <w:r w:rsidRPr="00785F6F">
        <w:t xml:space="preserve"> </w:t>
      </w:r>
      <w:proofErr w:type="spellStart"/>
      <w:r w:rsidRPr="00785F6F">
        <w:t>путем</w:t>
      </w:r>
      <w:proofErr w:type="spellEnd"/>
      <w:r w:rsidRPr="00785F6F">
        <w:t xml:space="preserve"> </w:t>
      </w:r>
      <w:proofErr w:type="spellStart"/>
      <w:r w:rsidRPr="00785F6F">
        <w:t>жреба</w:t>
      </w:r>
      <w:proofErr w:type="spellEnd"/>
      <w:r w:rsidRPr="00785F6F">
        <w:t xml:space="preserve"> </w:t>
      </w:r>
      <w:proofErr w:type="spellStart"/>
      <w:r w:rsidRPr="00785F6F">
        <w:t>наручилац</w:t>
      </w:r>
      <w:proofErr w:type="spellEnd"/>
      <w:r w:rsidRPr="00785F6F">
        <w:t xml:space="preserve"> </w:t>
      </w:r>
      <w:proofErr w:type="spellStart"/>
      <w:r w:rsidRPr="00785F6F">
        <w:t>ће</w:t>
      </w:r>
      <w:proofErr w:type="spellEnd"/>
      <w:r w:rsidRPr="00785F6F">
        <w:t xml:space="preserve"> </w:t>
      </w:r>
      <w:proofErr w:type="spellStart"/>
      <w:r w:rsidRPr="00785F6F">
        <w:t>извршити</w:t>
      </w:r>
      <w:proofErr w:type="spellEnd"/>
      <w:r w:rsidRPr="00785F6F">
        <w:t xml:space="preserve"> </w:t>
      </w:r>
      <w:proofErr w:type="spellStart"/>
      <w:r w:rsidRPr="00785F6F">
        <w:t>јавно</w:t>
      </w:r>
      <w:proofErr w:type="spellEnd"/>
      <w:r w:rsidRPr="00785F6F">
        <w:t xml:space="preserve">, у </w:t>
      </w:r>
      <w:proofErr w:type="spellStart"/>
      <w:r w:rsidRPr="00785F6F">
        <w:t>присуству</w:t>
      </w:r>
      <w:proofErr w:type="spellEnd"/>
      <w:r w:rsidRPr="00785F6F">
        <w:t xml:space="preserve"> </w:t>
      </w:r>
      <w:proofErr w:type="spellStart"/>
      <w:r w:rsidRPr="00785F6F">
        <w:t>понуђача</w:t>
      </w:r>
      <w:proofErr w:type="spellEnd"/>
      <w:r w:rsidRPr="00785F6F">
        <w:t xml:space="preserve">, и </w:t>
      </w:r>
      <w:proofErr w:type="spellStart"/>
      <w:r w:rsidRPr="00785F6F">
        <w:t>то</w:t>
      </w:r>
      <w:proofErr w:type="spellEnd"/>
      <w:r w:rsidRPr="00785F6F">
        <w:t xml:space="preserve"> </w:t>
      </w:r>
      <w:proofErr w:type="spellStart"/>
      <w:r w:rsidRPr="00785F6F">
        <w:t>тако</w:t>
      </w:r>
      <w:proofErr w:type="spellEnd"/>
      <w:r w:rsidRPr="00785F6F">
        <w:t xml:space="preserve"> </w:t>
      </w:r>
      <w:proofErr w:type="spellStart"/>
      <w:r w:rsidRPr="00785F6F">
        <w:t>што</w:t>
      </w:r>
      <w:proofErr w:type="spellEnd"/>
      <w:r w:rsidRPr="00785F6F">
        <w:t xml:space="preserve"> </w:t>
      </w:r>
      <w:proofErr w:type="spellStart"/>
      <w:r w:rsidRPr="00785F6F">
        <w:t>ће</w:t>
      </w:r>
      <w:proofErr w:type="spellEnd"/>
      <w:r w:rsidRPr="00785F6F">
        <w:t xml:space="preserve"> </w:t>
      </w:r>
      <w:proofErr w:type="spellStart"/>
      <w:r w:rsidRPr="00785F6F">
        <w:t>називе</w:t>
      </w:r>
      <w:proofErr w:type="spellEnd"/>
      <w:r w:rsidRPr="00785F6F">
        <w:t xml:space="preserve"> </w:t>
      </w:r>
      <w:proofErr w:type="spellStart"/>
      <w:r w:rsidRPr="00785F6F">
        <w:t>понуђача</w:t>
      </w:r>
      <w:proofErr w:type="spellEnd"/>
      <w:r w:rsidRPr="00785F6F">
        <w:t xml:space="preserve"> </w:t>
      </w:r>
      <w:proofErr w:type="spellStart"/>
      <w:r w:rsidRPr="00785F6F">
        <w:t>исписати</w:t>
      </w:r>
      <w:proofErr w:type="spellEnd"/>
      <w:r w:rsidRPr="00785F6F">
        <w:t xml:space="preserve"> </w:t>
      </w:r>
      <w:proofErr w:type="spellStart"/>
      <w:r w:rsidRPr="00785F6F">
        <w:t>на</w:t>
      </w:r>
      <w:proofErr w:type="spellEnd"/>
      <w:r w:rsidRPr="00785F6F">
        <w:t xml:space="preserve"> </w:t>
      </w:r>
      <w:proofErr w:type="spellStart"/>
      <w:r w:rsidRPr="00785F6F">
        <w:t>одвојеним</w:t>
      </w:r>
      <w:proofErr w:type="spellEnd"/>
      <w:r w:rsidRPr="00785F6F">
        <w:t xml:space="preserve"> </w:t>
      </w:r>
      <w:proofErr w:type="spellStart"/>
      <w:r w:rsidRPr="00785F6F">
        <w:t>папирима</w:t>
      </w:r>
      <w:proofErr w:type="spellEnd"/>
      <w:r w:rsidRPr="00785F6F">
        <w:t xml:space="preserve">, </w:t>
      </w:r>
      <w:proofErr w:type="spellStart"/>
      <w:r w:rsidRPr="00785F6F">
        <w:t>који</w:t>
      </w:r>
      <w:proofErr w:type="spellEnd"/>
      <w:r w:rsidRPr="00785F6F">
        <w:t xml:space="preserve"> </w:t>
      </w:r>
      <w:proofErr w:type="spellStart"/>
      <w:r w:rsidRPr="00785F6F">
        <w:t>су</w:t>
      </w:r>
      <w:proofErr w:type="spellEnd"/>
      <w:r w:rsidRPr="00785F6F">
        <w:t xml:space="preserve"> </w:t>
      </w:r>
      <w:proofErr w:type="spellStart"/>
      <w:r w:rsidRPr="00785F6F">
        <w:t>исте</w:t>
      </w:r>
      <w:proofErr w:type="spellEnd"/>
      <w:r w:rsidRPr="00785F6F">
        <w:t xml:space="preserve"> </w:t>
      </w:r>
      <w:proofErr w:type="spellStart"/>
      <w:r w:rsidRPr="00785F6F">
        <w:t>величине</w:t>
      </w:r>
      <w:proofErr w:type="spellEnd"/>
      <w:r w:rsidRPr="00785F6F">
        <w:t xml:space="preserve"> и </w:t>
      </w:r>
      <w:proofErr w:type="spellStart"/>
      <w:r w:rsidRPr="00785F6F">
        <w:t>боје</w:t>
      </w:r>
      <w:proofErr w:type="spellEnd"/>
      <w:r w:rsidRPr="00785F6F">
        <w:t xml:space="preserve">, </w:t>
      </w:r>
      <w:proofErr w:type="spellStart"/>
      <w:r w:rsidRPr="00785F6F">
        <w:t>те</w:t>
      </w:r>
      <w:proofErr w:type="spellEnd"/>
      <w:r w:rsidRPr="00785F6F">
        <w:t xml:space="preserve"> </w:t>
      </w:r>
      <w:proofErr w:type="spellStart"/>
      <w:r w:rsidRPr="00785F6F">
        <w:t>ће</w:t>
      </w:r>
      <w:proofErr w:type="spellEnd"/>
      <w:r w:rsidRPr="00785F6F">
        <w:t xml:space="preserve"> </w:t>
      </w:r>
      <w:proofErr w:type="spellStart"/>
      <w:r w:rsidRPr="00785F6F">
        <w:t>све</w:t>
      </w:r>
      <w:proofErr w:type="spellEnd"/>
      <w:r w:rsidRPr="00785F6F">
        <w:t xml:space="preserve"> </w:t>
      </w:r>
      <w:proofErr w:type="spellStart"/>
      <w:r w:rsidRPr="00785F6F">
        <w:t>те</w:t>
      </w:r>
      <w:proofErr w:type="spellEnd"/>
      <w:r w:rsidRPr="00785F6F">
        <w:t xml:space="preserve"> </w:t>
      </w:r>
      <w:proofErr w:type="spellStart"/>
      <w:r w:rsidRPr="00785F6F">
        <w:t>папире</w:t>
      </w:r>
      <w:proofErr w:type="spellEnd"/>
      <w:r w:rsidRPr="00785F6F">
        <w:t xml:space="preserve"> </w:t>
      </w:r>
      <w:proofErr w:type="spellStart"/>
      <w:r w:rsidRPr="00785F6F">
        <w:t>ставити</w:t>
      </w:r>
      <w:proofErr w:type="spellEnd"/>
      <w:r w:rsidRPr="00785F6F">
        <w:t xml:space="preserve"> у </w:t>
      </w:r>
      <w:proofErr w:type="spellStart"/>
      <w:r w:rsidRPr="00785F6F">
        <w:t>провидну</w:t>
      </w:r>
      <w:proofErr w:type="spellEnd"/>
      <w:r w:rsidRPr="00785F6F">
        <w:t xml:space="preserve"> </w:t>
      </w:r>
      <w:proofErr w:type="spellStart"/>
      <w:r w:rsidRPr="00785F6F">
        <w:t>кутију</w:t>
      </w:r>
      <w:proofErr w:type="spellEnd"/>
      <w:r w:rsidRPr="00785F6F">
        <w:t xml:space="preserve"> </w:t>
      </w:r>
      <w:proofErr w:type="spellStart"/>
      <w:r w:rsidRPr="00785F6F">
        <w:t>одакле</w:t>
      </w:r>
      <w:proofErr w:type="spellEnd"/>
      <w:r w:rsidRPr="00785F6F">
        <w:t xml:space="preserve"> </w:t>
      </w:r>
      <w:proofErr w:type="spellStart"/>
      <w:r w:rsidRPr="00785F6F">
        <w:t>ће</w:t>
      </w:r>
      <w:proofErr w:type="spellEnd"/>
      <w:r w:rsidRPr="00785F6F">
        <w:t xml:space="preserve"> </w:t>
      </w:r>
      <w:proofErr w:type="spellStart"/>
      <w:r w:rsidRPr="00785F6F">
        <w:t>прво</w:t>
      </w:r>
      <w:proofErr w:type="spellEnd"/>
      <w:r w:rsidRPr="00785F6F">
        <w:t xml:space="preserve"> </w:t>
      </w:r>
      <w:proofErr w:type="spellStart"/>
      <w:r w:rsidRPr="00785F6F">
        <w:t>извући</w:t>
      </w:r>
      <w:proofErr w:type="spellEnd"/>
      <w:r w:rsidRPr="00785F6F">
        <w:t xml:space="preserve"> </w:t>
      </w:r>
      <w:proofErr w:type="spellStart"/>
      <w:r w:rsidRPr="00785F6F">
        <w:t>само</w:t>
      </w:r>
      <w:proofErr w:type="spellEnd"/>
      <w:r w:rsidRPr="00785F6F">
        <w:t xml:space="preserve"> </w:t>
      </w:r>
      <w:proofErr w:type="spellStart"/>
      <w:r w:rsidRPr="00785F6F">
        <w:t>један</w:t>
      </w:r>
      <w:proofErr w:type="spellEnd"/>
      <w:r w:rsidRPr="00785F6F">
        <w:t xml:space="preserve"> </w:t>
      </w:r>
      <w:proofErr w:type="spellStart"/>
      <w:r w:rsidRPr="00785F6F">
        <w:t>папир</w:t>
      </w:r>
      <w:proofErr w:type="spellEnd"/>
      <w:r w:rsidRPr="00785F6F">
        <w:t xml:space="preserve">. </w:t>
      </w:r>
      <w:proofErr w:type="spellStart"/>
      <w:r w:rsidRPr="00785F6F">
        <w:t>Понуђачу</w:t>
      </w:r>
      <w:proofErr w:type="spellEnd"/>
      <w:r w:rsidRPr="00785F6F">
        <w:t xml:space="preserve"> </w:t>
      </w:r>
      <w:proofErr w:type="spellStart"/>
      <w:r w:rsidRPr="00785F6F">
        <w:t>чији</w:t>
      </w:r>
      <w:proofErr w:type="spellEnd"/>
      <w:r w:rsidRPr="00785F6F">
        <w:t xml:space="preserve"> </w:t>
      </w:r>
      <w:proofErr w:type="spellStart"/>
      <w:r w:rsidRPr="00785F6F">
        <w:t>назив</w:t>
      </w:r>
      <w:proofErr w:type="spellEnd"/>
      <w:r w:rsidRPr="00785F6F">
        <w:t xml:space="preserve"> </w:t>
      </w:r>
      <w:proofErr w:type="spellStart"/>
      <w:r w:rsidRPr="00785F6F">
        <w:t>буде</w:t>
      </w:r>
      <w:proofErr w:type="spellEnd"/>
      <w:r w:rsidRPr="00785F6F">
        <w:t xml:space="preserve"> </w:t>
      </w:r>
      <w:proofErr w:type="spellStart"/>
      <w:r w:rsidRPr="00785F6F">
        <w:t>на</w:t>
      </w:r>
      <w:proofErr w:type="spellEnd"/>
      <w:r w:rsidRPr="00785F6F">
        <w:t xml:space="preserve"> </w:t>
      </w:r>
      <w:proofErr w:type="spellStart"/>
      <w:r w:rsidRPr="00785F6F">
        <w:t>извученом</w:t>
      </w:r>
      <w:proofErr w:type="spellEnd"/>
      <w:r w:rsidRPr="00785F6F">
        <w:t xml:space="preserve"> </w:t>
      </w:r>
      <w:proofErr w:type="spellStart"/>
      <w:r w:rsidRPr="00785F6F">
        <w:t>папиру</w:t>
      </w:r>
      <w:proofErr w:type="spellEnd"/>
      <w:r w:rsidRPr="00785F6F">
        <w:t xml:space="preserve"> </w:t>
      </w:r>
      <w:proofErr w:type="spellStart"/>
      <w:r w:rsidRPr="00785F6F">
        <w:t>ће</w:t>
      </w:r>
      <w:proofErr w:type="spellEnd"/>
      <w:r w:rsidRPr="00785F6F">
        <w:t xml:space="preserve"> </w:t>
      </w:r>
      <w:proofErr w:type="spellStart"/>
      <w:r w:rsidRPr="00785F6F">
        <w:t>бити</w:t>
      </w:r>
      <w:proofErr w:type="spellEnd"/>
      <w:r w:rsidRPr="00785F6F">
        <w:t xml:space="preserve"> </w:t>
      </w:r>
      <w:proofErr w:type="spellStart"/>
      <w:r w:rsidRPr="00785F6F">
        <w:t>додељен</w:t>
      </w:r>
      <w:proofErr w:type="spellEnd"/>
      <w:r w:rsidRPr="00785F6F">
        <w:t xml:space="preserve"> </w:t>
      </w:r>
      <w:proofErr w:type="spellStart"/>
      <w:r w:rsidRPr="00785F6F">
        <w:t>уговор</w:t>
      </w:r>
      <w:proofErr w:type="spellEnd"/>
      <w:r w:rsidRPr="00785F6F">
        <w:t xml:space="preserve">. </w:t>
      </w:r>
      <w:proofErr w:type="spellStart"/>
      <w:r w:rsidRPr="00785F6F">
        <w:t>Након</w:t>
      </w:r>
      <w:proofErr w:type="spellEnd"/>
      <w:r w:rsidRPr="00785F6F">
        <w:t xml:space="preserve"> </w:t>
      </w:r>
      <w:proofErr w:type="spellStart"/>
      <w:r w:rsidRPr="00785F6F">
        <w:t>извлачења</w:t>
      </w:r>
      <w:proofErr w:type="spellEnd"/>
      <w:r w:rsidRPr="00785F6F">
        <w:t xml:space="preserve"> </w:t>
      </w:r>
      <w:proofErr w:type="spellStart"/>
      <w:r w:rsidRPr="00785F6F">
        <w:t>првог</w:t>
      </w:r>
      <w:proofErr w:type="spellEnd"/>
      <w:r w:rsidRPr="00785F6F">
        <w:t xml:space="preserve"> </w:t>
      </w:r>
      <w:proofErr w:type="spellStart"/>
      <w:r w:rsidRPr="00785F6F">
        <w:t>папира</w:t>
      </w:r>
      <w:proofErr w:type="spellEnd"/>
      <w:r w:rsidRPr="00785F6F">
        <w:t xml:space="preserve"> </w:t>
      </w:r>
      <w:proofErr w:type="spellStart"/>
      <w:r w:rsidRPr="00785F6F">
        <w:t>наручилац</w:t>
      </w:r>
      <w:proofErr w:type="spellEnd"/>
      <w:r w:rsidRPr="00785F6F">
        <w:t xml:space="preserve"> </w:t>
      </w:r>
      <w:proofErr w:type="spellStart"/>
      <w:r w:rsidRPr="00785F6F">
        <w:t>извлачи</w:t>
      </w:r>
      <w:proofErr w:type="spellEnd"/>
      <w:r w:rsidRPr="00785F6F">
        <w:t xml:space="preserve"> </w:t>
      </w:r>
      <w:proofErr w:type="spellStart"/>
      <w:r w:rsidRPr="00785F6F">
        <w:t>преостале</w:t>
      </w:r>
      <w:proofErr w:type="spellEnd"/>
      <w:r w:rsidRPr="00785F6F">
        <w:t xml:space="preserve"> </w:t>
      </w:r>
      <w:proofErr w:type="spellStart"/>
      <w:r w:rsidRPr="00785F6F">
        <w:t>папире</w:t>
      </w:r>
      <w:proofErr w:type="spellEnd"/>
      <w:r w:rsidRPr="00785F6F">
        <w:t xml:space="preserve"> </w:t>
      </w:r>
      <w:proofErr w:type="spellStart"/>
      <w:r w:rsidRPr="00785F6F">
        <w:t>један</w:t>
      </w:r>
      <w:proofErr w:type="spellEnd"/>
      <w:r w:rsidRPr="00785F6F">
        <w:t xml:space="preserve"> </w:t>
      </w:r>
      <w:proofErr w:type="spellStart"/>
      <w:r w:rsidRPr="00785F6F">
        <w:t>по</w:t>
      </w:r>
      <w:proofErr w:type="spellEnd"/>
      <w:r w:rsidRPr="00785F6F">
        <w:t xml:space="preserve"> </w:t>
      </w:r>
      <w:proofErr w:type="spellStart"/>
      <w:r w:rsidRPr="00785F6F">
        <w:t>један</w:t>
      </w:r>
      <w:proofErr w:type="spellEnd"/>
      <w:r w:rsidRPr="00785F6F">
        <w:t xml:space="preserve"> </w:t>
      </w:r>
      <w:proofErr w:type="spellStart"/>
      <w:r w:rsidRPr="00785F6F">
        <w:t>те</w:t>
      </w:r>
      <w:proofErr w:type="spellEnd"/>
      <w:r w:rsidRPr="00785F6F">
        <w:t xml:space="preserve"> </w:t>
      </w:r>
      <w:proofErr w:type="spellStart"/>
      <w:r w:rsidRPr="00785F6F">
        <w:t>сходно</w:t>
      </w:r>
      <w:proofErr w:type="spellEnd"/>
      <w:r w:rsidRPr="00785F6F">
        <w:t xml:space="preserve"> </w:t>
      </w:r>
      <w:proofErr w:type="spellStart"/>
      <w:r w:rsidRPr="00785F6F">
        <w:t>редоследу</w:t>
      </w:r>
      <w:proofErr w:type="spellEnd"/>
      <w:r w:rsidRPr="00785F6F">
        <w:t xml:space="preserve"> </w:t>
      </w:r>
      <w:proofErr w:type="spellStart"/>
      <w:r w:rsidRPr="00785F6F">
        <w:t>којим</w:t>
      </w:r>
      <w:proofErr w:type="spellEnd"/>
      <w:r w:rsidRPr="00785F6F">
        <w:t xml:space="preserve"> </w:t>
      </w:r>
      <w:proofErr w:type="spellStart"/>
      <w:r w:rsidRPr="00785F6F">
        <w:t>су</w:t>
      </w:r>
      <w:proofErr w:type="spellEnd"/>
      <w:r w:rsidRPr="00785F6F">
        <w:t xml:space="preserve"> </w:t>
      </w:r>
      <w:proofErr w:type="spellStart"/>
      <w:r w:rsidRPr="00785F6F">
        <w:t>извучени</w:t>
      </w:r>
      <w:proofErr w:type="spellEnd"/>
      <w:r w:rsidRPr="00785F6F">
        <w:t xml:space="preserve"> </w:t>
      </w:r>
      <w:proofErr w:type="spellStart"/>
      <w:r w:rsidRPr="00785F6F">
        <w:t>рангира</w:t>
      </w:r>
      <w:proofErr w:type="spellEnd"/>
      <w:r w:rsidRPr="00785F6F">
        <w:t xml:space="preserve"> </w:t>
      </w:r>
      <w:proofErr w:type="spellStart"/>
      <w:r w:rsidRPr="00785F6F">
        <w:t>преостале</w:t>
      </w:r>
      <w:proofErr w:type="spellEnd"/>
      <w:r w:rsidRPr="00785F6F">
        <w:t xml:space="preserve"> </w:t>
      </w:r>
      <w:proofErr w:type="spellStart"/>
      <w:r w:rsidRPr="00785F6F">
        <w:t>понуђаче</w:t>
      </w:r>
      <w:proofErr w:type="spellEnd"/>
      <w:r w:rsidRPr="00785F6F">
        <w:t xml:space="preserve">. </w:t>
      </w:r>
      <w:proofErr w:type="spellStart"/>
      <w:r w:rsidRPr="00785F6F">
        <w:t>Понуђачима</w:t>
      </w:r>
      <w:proofErr w:type="spellEnd"/>
      <w:r w:rsidRPr="00785F6F">
        <w:t xml:space="preserve"> </w:t>
      </w:r>
      <w:proofErr w:type="spellStart"/>
      <w:r w:rsidRPr="00785F6F">
        <w:t>који</w:t>
      </w:r>
      <w:proofErr w:type="spellEnd"/>
      <w:r w:rsidRPr="00785F6F">
        <w:t xml:space="preserve"> </w:t>
      </w:r>
      <w:proofErr w:type="spellStart"/>
      <w:r w:rsidRPr="00785F6F">
        <w:t>не</w:t>
      </w:r>
      <w:proofErr w:type="spellEnd"/>
      <w:r w:rsidRPr="00785F6F">
        <w:t xml:space="preserve"> </w:t>
      </w:r>
      <w:proofErr w:type="spellStart"/>
      <w:r w:rsidRPr="00785F6F">
        <w:t>присуствују</w:t>
      </w:r>
      <w:proofErr w:type="spellEnd"/>
      <w:r w:rsidRPr="00785F6F">
        <w:t xml:space="preserve"> </w:t>
      </w:r>
      <w:proofErr w:type="spellStart"/>
      <w:r w:rsidRPr="00785F6F">
        <w:t>овом</w:t>
      </w:r>
      <w:proofErr w:type="spellEnd"/>
      <w:r w:rsidRPr="00785F6F">
        <w:t xml:space="preserve"> </w:t>
      </w:r>
      <w:proofErr w:type="spellStart"/>
      <w:r w:rsidRPr="00785F6F">
        <w:t>поступку</w:t>
      </w:r>
      <w:proofErr w:type="spellEnd"/>
      <w:r w:rsidRPr="00785F6F">
        <w:t xml:space="preserve">, </w:t>
      </w:r>
      <w:proofErr w:type="spellStart"/>
      <w:r w:rsidRPr="00785F6F">
        <w:t>наручилац</w:t>
      </w:r>
      <w:proofErr w:type="spellEnd"/>
      <w:r w:rsidRPr="00785F6F">
        <w:t xml:space="preserve"> </w:t>
      </w:r>
      <w:proofErr w:type="spellStart"/>
      <w:r w:rsidRPr="00785F6F">
        <w:t>ће</w:t>
      </w:r>
      <w:proofErr w:type="spellEnd"/>
      <w:r w:rsidRPr="00785F6F">
        <w:t xml:space="preserve"> </w:t>
      </w:r>
      <w:proofErr w:type="spellStart"/>
      <w:r w:rsidRPr="00785F6F">
        <w:t>доставити</w:t>
      </w:r>
      <w:proofErr w:type="spellEnd"/>
      <w:r w:rsidRPr="00785F6F">
        <w:t xml:space="preserve"> </w:t>
      </w:r>
      <w:proofErr w:type="spellStart"/>
      <w:r w:rsidRPr="00785F6F">
        <w:t>записник</w:t>
      </w:r>
      <w:proofErr w:type="spellEnd"/>
      <w:r w:rsidRPr="00785F6F">
        <w:t xml:space="preserve"> </w:t>
      </w:r>
      <w:proofErr w:type="spellStart"/>
      <w:r w:rsidRPr="00785F6F">
        <w:t>извлачења</w:t>
      </w:r>
      <w:proofErr w:type="spellEnd"/>
      <w:r w:rsidRPr="00785F6F">
        <w:t xml:space="preserve"> </w:t>
      </w:r>
      <w:proofErr w:type="spellStart"/>
      <w:r w:rsidRPr="00785F6F">
        <w:t>путем</w:t>
      </w:r>
      <w:proofErr w:type="spellEnd"/>
      <w:r w:rsidRPr="00785F6F">
        <w:t xml:space="preserve"> </w:t>
      </w:r>
      <w:proofErr w:type="spellStart"/>
      <w:r w:rsidRPr="00785F6F">
        <w:t>жреба</w:t>
      </w:r>
      <w:proofErr w:type="spellEnd"/>
      <w:r w:rsidRPr="00785F6F">
        <w:rPr>
          <w:lang w:val="sr-Cyrl-RS"/>
        </w:rPr>
        <w:t>.</w:t>
      </w:r>
    </w:p>
    <w:p w14:paraId="70A23708" w14:textId="77777777" w:rsidR="002B6E5E" w:rsidRPr="00785F6F" w:rsidRDefault="002B6E5E" w:rsidP="002B6E5E">
      <w:pPr>
        <w:spacing w:line="276" w:lineRule="auto"/>
        <w:jc w:val="both"/>
        <w:rPr>
          <w:lang w:val="sr-Cyrl-RS"/>
        </w:rPr>
      </w:pPr>
    </w:p>
    <w:p w14:paraId="1A261370" w14:textId="573EC691" w:rsidR="002B6E5E" w:rsidRPr="00FD7273" w:rsidRDefault="002B6E5E" w:rsidP="002B6E5E">
      <w:pPr>
        <w:spacing w:line="276" w:lineRule="auto"/>
        <w:jc w:val="both"/>
        <w:rPr>
          <w:b/>
          <w:bCs/>
          <w:lang w:val="sr-Cyrl-RS"/>
        </w:rPr>
      </w:pPr>
      <w:r w:rsidRPr="00FD7273">
        <w:rPr>
          <w:b/>
          <w:bCs/>
          <w:lang w:val="sr-Cyrl-RS"/>
        </w:rPr>
        <w:t xml:space="preserve">******* </w:t>
      </w:r>
      <w:r w:rsidR="00321261">
        <w:rPr>
          <w:b/>
          <w:bCs/>
          <w:lang w:val="sr-Cyrl-RS"/>
        </w:rPr>
        <w:t>Понуђач</w:t>
      </w:r>
      <w:r w:rsidRPr="00FD7273">
        <w:rPr>
          <w:b/>
          <w:bCs/>
        </w:rPr>
        <w:t xml:space="preserve"> ј</w:t>
      </w:r>
      <w:proofErr w:type="spellStart"/>
      <w:r w:rsidRPr="00FD7273">
        <w:rPr>
          <w:b/>
          <w:bCs/>
        </w:rPr>
        <w:t>е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дужан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да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приликом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подношења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понуде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достави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Списак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возила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на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обрасцу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који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је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саставни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део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конкурсне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документације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или</w:t>
      </w:r>
      <w:proofErr w:type="spellEnd"/>
      <w:r w:rsidRPr="00FD7273">
        <w:rPr>
          <w:b/>
          <w:bCs/>
        </w:rPr>
        <w:t xml:space="preserve"> у </w:t>
      </w:r>
      <w:proofErr w:type="spellStart"/>
      <w:r w:rsidRPr="00FD7273">
        <w:rPr>
          <w:b/>
          <w:bCs/>
        </w:rPr>
        <w:t>слободној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форми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са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минималним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подацима</w:t>
      </w:r>
      <w:proofErr w:type="spellEnd"/>
      <w:r w:rsidRPr="00FD7273">
        <w:rPr>
          <w:b/>
          <w:bCs/>
        </w:rPr>
        <w:t xml:space="preserve"> (у </w:t>
      </w:r>
      <w:proofErr w:type="spellStart"/>
      <w:r w:rsidRPr="00FD7273">
        <w:rPr>
          <w:b/>
          <w:bCs/>
        </w:rPr>
        <w:t>смислу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марке</w:t>
      </w:r>
      <w:proofErr w:type="spellEnd"/>
      <w:r w:rsidRPr="00FD7273">
        <w:rPr>
          <w:b/>
          <w:bCs/>
        </w:rPr>
        <w:t xml:space="preserve">, </w:t>
      </w:r>
      <w:proofErr w:type="spellStart"/>
      <w:r w:rsidRPr="00FD7273">
        <w:rPr>
          <w:b/>
          <w:bCs/>
        </w:rPr>
        <w:t>типа</w:t>
      </w:r>
      <w:proofErr w:type="spellEnd"/>
      <w:r w:rsidRPr="00FD7273">
        <w:rPr>
          <w:b/>
          <w:bCs/>
        </w:rPr>
        <w:t xml:space="preserve">, </w:t>
      </w:r>
      <w:proofErr w:type="spellStart"/>
      <w:r w:rsidRPr="00FD7273">
        <w:rPr>
          <w:b/>
          <w:bCs/>
        </w:rPr>
        <w:t>броја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шасије</w:t>
      </w:r>
      <w:proofErr w:type="spellEnd"/>
      <w:r w:rsidRPr="00FD7273">
        <w:rPr>
          <w:b/>
          <w:bCs/>
        </w:rPr>
        <w:t xml:space="preserve">, </w:t>
      </w:r>
      <w:proofErr w:type="spellStart"/>
      <w:r w:rsidRPr="00FD7273">
        <w:rPr>
          <w:b/>
          <w:bCs/>
        </w:rPr>
        <w:t>регистарске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ознаке</w:t>
      </w:r>
      <w:proofErr w:type="spellEnd"/>
      <w:r w:rsidRPr="00FD7273">
        <w:rPr>
          <w:b/>
          <w:bCs/>
        </w:rPr>
        <w:t xml:space="preserve">, </w:t>
      </w:r>
      <w:proofErr w:type="spellStart"/>
      <w:r w:rsidRPr="00FD7273">
        <w:rPr>
          <w:b/>
          <w:bCs/>
        </w:rPr>
        <w:t>да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ли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је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возило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хибридно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или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електро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или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са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погоном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на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гас</w:t>
      </w:r>
      <w:proofErr w:type="spellEnd"/>
      <w:r w:rsidRPr="00FD7273">
        <w:rPr>
          <w:b/>
          <w:bCs/>
        </w:rPr>
        <w:t xml:space="preserve">, </w:t>
      </w:r>
      <w:proofErr w:type="spellStart"/>
      <w:r w:rsidRPr="00FD7273">
        <w:rPr>
          <w:b/>
          <w:bCs/>
        </w:rPr>
        <w:t>година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производње</w:t>
      </w:r>
      <w:proofErr w:type="spellEnd"/>
      <w:r w:rsidRPr="00FD7273">
        <w:rPr>
          <w:b/>
          <w:bCs/>
        </w:rPr>
        <w:t xml:space="preserve"> и </w:t>
      </w:r>
      <w:proofErr w:type="spellStart"/>
      <w:r w:rsidRPr="00FD7273">
        <w:rPr>
          <w:b/>
          <w:bCs/>
        </w:rPr>
        <w:t>сл</w:t>
      </w:r>
      <w:proofErr w:type="spellEnd"/>
      <w:r w:rsidRPr="00FD7273">
        <w:rPr>
          <w:b/>
          <w:bCs/>
        </w:rPr>
        <w:t xml:space="preserve">) </w:t>
      </w:r>
      <w:proofErr w:type="spellStart"/>
      <w:r w:rsidRPr="00FD7273">
        <w:rPr>
          <w:b/>
          <w:bCs/>
        </w:rPr>
        <w:t>који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представљају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додатак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изјави</w:t>
      </w:r>
      <w:proofErr w:type="spellEnd"/>
      <w:r w:rsidRPr="00FD7273">
        <w:rPr>
          <w:b/>
          <w:bCs/>
        </w:rPr>
        <w:t xml:space="preserve">, </w:t>
      </w:r>
      <w:proofErr w:type="spellStart"/>
      <w:r w:rsidRPr="00FD7273">
        <w:rPr>
          <w:b/>
          <w:bCs/>
        </w:rPr>
        <w:t>приликом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подношења</w:t>
      </w:r>
      <w:proofErr w:type="spellEnd"/>
      <w:r w:rsidRPr="00FD7273">
        <w:rPr>
          <w:b/>
          <w:bCs/>
        </w:rPr>
        <w:t xml:space="preserve"> </w:t>
      </w:r>
      <w:proofErr w:type="spellStart"/>
      <w:r w:rsidRPr="00FD7273">
        <w:rPr>
          <w:b/>
          <w:bCs/>
        </w:rPr>
        <w:t>понуде</w:t>
      </w:r>
      <w:proofErr w:type="spellEnd"/>
      <w:r w:rsidRPr="00FD7273">
        <w:rPr>
          <w:b/>
          <w:bCs/>
        </w:rPr>
        <w:t>.</w:t>
      </w:r>
    </w:p>
    <w:p w14:paraId="41C467F5" w14:textId="77777777" w:rsidR="002B6E5E" w:rsidRPr="00FD7273" w:rsidRDefault="002B6E5E" w:rsidP="002B6E5E">
      <w:pPr>
        <w:spacing w:line="276" w:lineRule="auto"/>
        <w:jc w:val="both"/>
        <w:rPr>
          <w:b/>
          <w:bCs/>
          <w:lang w:val="sr-Cyrl-RS"/>
        </w:rPr>
      </w:pPr>
    </w:p>
    <w:p w14:paraId="1A9812D9" w14:textId="738EC4E2" w:rsidR="002B6E5E" w:rsidRPr="00AF3138" w:rsidRDefault="002B6E5E" w:rsidP="0062502F">
      <w:pPr>
        <w:spacing w:line="276" w:lineRule="auto"/>
        <w:jc w:val="both"/>
        <w:rPr>
          <w:lang w:val="sr-Cyrl-RS"/>
        </w:rPr>
      </w:pPr>
      <w:proofErr w:type="spellStart"/>
      <w:r w:rsidRPr="00785F6F">
        <w:t>Списак</w:t>
      </w:r>
      <w:proofErr w:type="spellEnd"/>
      <w:r w:rsidRPr="00785F6F">
        <w:t xml:space="preserve"> </w:t>
      </w:r>
      <w:proofErr w:type="spellStart"/>
      <w:r w:rsidRPr="00785F6F">
        <w:t>возила</w:t>
      </w:r>
      <w:proofErr w:type="spellEnd"/>
      <w:r w:rsidRPr="00785F6F">
        <w:t xml:space="preserve"> </w:t>
      </w:r>
      <w:proofErr w:type="spellStart"/>
      <w:r w:rsidRPr="00785F6F">
        <w:t>на</w:t>
      </w:r>
      <w:proofErr w:type="spellEnd"/>
      <w:r w:rsidRPr="00785F6F">
        <w:t xml:space="preserve"> </w:t>
      </w:r>
      <w:proofErr w:type="spellStart"/>
      <w:r w:rsidRPr="00785F6F">
        <w:t>обрасцу</w:t>
      </w:r>
      <w:proofErr w:type="spellEnd"/>
      <w:r w:rsidRPr="00785F6F">
        <w:t xml:space="preserve"> </w:t>
      </w:r>
      <w:proofErr w:type="spellStart"/>
      <w:r w:rsidRPr="00785F6F">
        <w:t>који</w:t>
      </w:r>
      <w:proofErr w:type="spellEnd"/>
      <w:r w:rsidRPr="00785F6F">
        <w:t xml:space="preserve"> </w:t>
      </w:r>
      <w:proofErr w:type="spellStart"/>
      <w:r w:rsidRPr="00785F6F">
        <w:t>је</w:t>
      </w:r>
      <w:proofErr w:type="spellEnd"/>
      <w:r w:rsidRPr="00785F6F">
        <w:t xml:space="preserve"> </w:t>
      </w:r>
      <w:proofErr w:type="spellStart"/>
      <w:r w:rsidRPr="00785F6F">
        <w:t>саставни</w:t>
      </w:r>
      <w:proofErr w:type="spellEnd"/>
      <w:r w:rsidRPr="00785F6F">
        <w:t xml:space="preserve"> </w:t>
      </w:r>
      <w:proofErr w:type="spellStart"/>
      <w:r w:rsidRPr="00785F6F">
        <w:t>део</w:t>
      </w:r>
      <w:proofErr w:type="spellEnd"/>
      <w:r w:rsidRPr="00785F6F">
        <w:t xml:space="preserve"> </w:t>
      </w:r>
      <w:proofErr w:type="spellStart"/>
      <w:r w:rsidRPr="00785F6F">
        <w:t>конкурсне</w:t>
      </w:r>
      <w:proofErr w:type="spellEnd"/>
      <w:r w:rsidRPr="00785F6F">
        <w:t xml:space="preserve"> </w:t>
      </w:r>
      <w:proofErr w:type="spellStart"/>
      <w:r w:rsidRPr="00785F6F">
        <w:t>документације</w:t>
      </w:r>
      <w:proofErr w:type="spellEnd"/>
      <w:r w:rsidRPr="00785F6F">
        <w:t xml:space="preserve"> </w:t>
      </w:r>
      <w:proofErr w:type="spellStart"/>
      <w:r w:rsidRPr="00785F6F">
        <w:t>или</w:t>
      </w:r>
      <w:proofErr w:type="spellEnd"/>
      <w:r w:rsidRPr="00785F6F">
        <w:t xml:space="preserve"> у </w:t>
      </w:r>
      <w:proofErr w:type="spellStart"/>
      <w:r w:rsidRPr="00785F6F">
        <w:t>слободној</w:t>
      </w:r>
      <w:proofErr w:type="spellEnd"/>
      <w:r w:rsidRPr="00785F6F">
        <w:t xml:space="preserve"> </w:t>
      </w:r>
      <w:proofErr w:type="spellStart"/>
      <w:r w:rsidRPr="00785F6F">
        <w:t>форми</w:t>
      </w:r>
      <w:proofErr w:type="spellEnd"/>
      <w:r w:rsidRPr="00785F6F">
        <w:t xml:space="preserve"> </w:t>
      </w:r>
      <w:proofErr w:type="spellStart"/>
      <w:r w:rsidRPr="00785F6F">
        <w:t>са</w:t>
      </w:r>
      <w:proofErr w:type="spellEnd"/>
      <w:r w:rsidRPr="00785F6F">
        <w:t xml:space="preserve"> </w:t>
      </w:r>
      <w:proofErr w:type="spellStart"/>
      <w:r w:rsidRPr="00785F6F">
        <w:t>минималним</w:t>
      </w:r>
      <w:proofErr w:type="spellEnd"/>
      <w:r w:rsidRPr="00785F6F">
        <w:t xml:space="preserve"> </w:t>
      </w:r>
      <w:proofErr w:type="spellStart"/>
      <w:r w:rsidRPr="00785F6F">
        <w:t>подацима</w:t>
      </w:r>
      <w:proofErr w:type="spellEnd"/>
      <w:r w:rsidRPr="00785F6F">
        <w:t xml:space="preserve"> (у </w:t>
      </w:r>
      <w:proofErr w:type="spellStart"/>
      <w:r w:rsidRPr="00785F6F">
        <w:t>смислу</w:t>
      </w:r>
      <w:proofErr w:type="spellEnd"/>
      <w:r w:rsidRPr="00785F6F">
        <w:t xml:space="preserve"> </w:t>
      </w:r>
      <w:proofErr w:type="spellStart"/>
      <w:r w:rsidRPr="00785F6F">
        <w:t>марке</w:t>
      </w:r>
      <w:proofErr w:type="spellEnd"/>
      <w:r w:rsidRPr="00785F6F">
        <w:t xml:space="preserve">, </w:t>
      </w:r>
      <w:proofErr w:type="spellStart"/>
      <w:r w:rsidRPr="00785F6F">
        <w:t>типа</w:t>
      </w:r>
      <w:proofErr w:type="spellEnd"/>
      <w:r w:rsidRPr="00785F6F">
        <w:t xml:space="preserve">, </w:t>
      </w:r>
      <w:proofErr w:type="spellStart"/>
      <w:r w:rsidRPr="00785F6F">
        <w:t>броја</w:t>
      </w:r>
      <w:proofErr w:type="spellEnd"/>
      <w:r w:rsidRPr="00785F6F">
        <w:t xml:space="preserve"> </w:t>
      </w:r>
      <w:proofErr w:type="spellStart"/>
      <w:r w:rsidRPr="00785F6F">
        <w:t>шасије</w:t>
      </w:r>
      <w:proofErr w:type="spellEnd"/>
      <w:r w:rsidRPr="00785F6F">
        <w:t xml:space="preserve">, </w:t>
      </w:r>
      <w:proofErr w:type="spellStart"/>
      <w:r w:rsidRPr="00785F6F">
        <w:t>регистарске</w:t>
      </w:r>
      <w:proofErr w:type="spellEnd"/>
      <w:r w:rsidRPr="00785F6F">
        <w:t xml:space="preserve"> </w:t>
      </w:r>
      <w:proofErr w:type="spellStart"/>
      <w:r w:rsidRPr="00785F6F">
        <w:t>ознаке</w:t>
      </w:r>
      <w:proofErr w:type="spellEnd"/>
      <w:r w:rsidRPr="00785F6F">
        <w:t xml:space="preserve">, </w:t>
      </w:r>
      <w:proofErr w:type="spellStart"/>
      <w:r w:rsidRPr="00785F6F">
        <w:t>да</w:t>
      </w:r>
      <w:proofErr w:type="spellEnd"/>
      <w:r w:rsidRPr="00785F6F">
        <w:t xml:space="preserve"> </w:t>
      </w:r>
      <w:proofErr w:type="spellStart"/>
      <w:r w:rsidRPr="00785F6F">
        <w:t>ли</w:t>
      </w:r>
      <w:proofErr w:type="spellEnd"/>
      <w:r w:rsidRPr="00785F6F">
        <w:t xml:space="preserve"> </w:t>
      </w:r>
      <w:proofErr w:type="spellStart"/>
      <w:r w:rsidRPr="00785F6F">
        <w:t>је</w:t>
      </w:r>
      <w:proofErr w:type="spellEnd"/>
      <w:r w:rsidRPr="00785F6F">
        <w:t xml:space="preserve"> </w:t>
      </w:r>
      <w:proofErr w:type="spellStart"/>
      <w:r w:rsidRPr="00785F6F">
        <w:t>возило</w:t>
      </w:r>
      <w:proofErr w:type="spellEnd"/>
      <w:r w:rsidRPr="00785F6F">
        <w:t xml:space="preserve"> </w:t>
      </w:r>
      <w:proofErr w:type="spellStart"/>
      <w:r w:rsidRPr="00785F6F">
        <w:t>хибридно</w:t>
      </w:r>
      <w:proofErr w:type="spellEnd"/>
      <w:r w:rsidRPr="00785F6F">
        <w:t xml:space="preserve"> </w:t>
      </w:r>
      <w:proofErr w:type="spellStart"/>
      <w:r w:rsidRPr="00785F6F">
        <w:t>или</w:t>
      </w:r>
      <w:proofErr w:type="spellEnd"/>
      <w:r w:rsidRPr="00785F6F">
        <w:t xml:space="preserve"> </w:t>
      </w:r>
      <w:proofErr w:type="spellStart"/>
      <w:r w:rsidRPr="00785F6F">
        <w:t>електро</w:t>
      </w:r>
      <w:proofErr w:type="spellEnd"/>
      <w:r w:rsidRPr="00785F6F">
        <w:t xml:space="preserve">, </w:t>
      </w:r>
      <w:proofErr w:type="spellStart"/>
      <w:r w:rsidRPr="00785F6F">
        <w:t>година</w:t>
      </w:r>
      <w:proofErr w:type="spellEnd"/>
      <w:r w:rsidRPr="00785F6F">
        <w:t xml:space="preserve"> </w:t>
      </w:r>
      <w:proofErr w:type="spellStart"/>
      <w:r w:rsidRPr="00785F6F">
        <w:t>производње</w:t>
      </w:r>
      <w:proofErr w:type="spellEnd"/>
      <w:r w:rsidRPr="00785F6F">
        <w:t xml:space="preserve"> и </w:t>
      </w:r>
      <w:proofErr w:type="spellStart"/>
      <w:r w:rsidRPr="00785F6F">
        <w:t>сл</w:t>
      </w:r>
      <w:proofErr w:type="spellEnd"/>
      <w:r w:rsidRPr="00785F6F">
        <w:t>)</w:t>
      </w:r>
      <w:r w:rsidRPr="00785F6F">
        <w:rPr>
          <w:lang w:val="sr-Cyrl-RS"/>
        </w:rPr>
        <w:t xml:space="preserve"> служи као критеријум за доделу уговора.</w:t>
      </w:r>
    </w:p>
    <w:p w14:paraId="5714A1CF" w14:textId="77777777" w:rsidR="002E26FA" w:rsidRDefault="002E26FA" w:rsidP="0062502F">
      <w:pPr>
        <w:spacing w:line="276" w:lineRule="auto"/>
        <w:jc w:val="both"/>
        <w:rPr>
          <w:iCs/>
          <w:lang w:val="sr-Cyrl-RS"/>
        </w:rPr>
      </w:pPr>
    </w:p>
    <w:p w14:paraId="514ED132" w14:textId="034459C5" w:rsidR="00195A2B" w:rsidRPr="0044301A" w:rsidRDefault="00D37AA8" w:rsidP="0044301A">
      <w:pPr>
        <w:spacing w:line="276" w:lineRule="auto"/>
        <w:jc w:val="both"/>
        <w:rPr>
          <w:iCs/>
          <w:lang w:val="sr-Cyrl-RS"/>
        </w:rPr>
      </w:pPr>
      <w:r>
        <w:rPr>
          <w:iCs/>
          <w:lang w:val="sr-Cyrl-RS"/>
        </w:rPr>
        <w:t xml:space="preserve"> </w:t>
      </w:r>
    </w:p>
    <w:sectPr w:rsidR="00195A2B" w:rsidRPr="0044301A" w:rsidSect="00317729">
      <w:headerReference w:type="first" r:id="rId7"/>
      <w:pgSz w:w="12240" w:h="15840"/>
      <w:pgMar w:top="1701" w:right="1440" w:bottom="170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8625" w14:textId="77777777" w:rsidR="00532570" w:rsidRDefault="00532570" w:rsidP="00BF12B1">
      <w:r>
        <w:separator/>
      </w:r>
    </w:p>
  </w:endnote>
  <w:endnote w:type="continuationSeparator" w:id="0">
    <w:p w14:paraId="20B74198" w14:textId="77777777" w:rsidR="00532570" w:rsidRDefault="00532570" w:rsidP="00BF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AA0A" w14:textId="77777777" w:rsidR="00532570" w:rsidRDefault="00532570" w:rsidP="00BF12B1">
      <w:r>
        <w:separator/>
      </w:r>
    </w:p>
  </w:footnote>
  <w:footnote w:type="continuationSeparator" w:id="0">
    <w:p w14:paraId="2D3717E7" w14:textId="77777777" w:rsidR="00532570" w:rsidRDefault="00532570" w:rsidP="00BF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49D1" w14:textId="77777777" w:rsidR="00BF12B1" w:rsidRPr="00744DF4" w:rsidRDefault="00BF12B1" w:rsidP="005F0091">
    <w:pPr>
      <w:jc w:val="center"/>
      <w:rPr>
        <w:b/>
        <w:lang w:val="sr-Cyrl-RS"/>
      </w:rPr>
    </w:pPr>
    <w:r>
      <w:rPr>
        <w:bCs/>
        <w:lang w:val="sr-Cyrl-RS"/>
      </w:rPr>
      <w:t xml:space="preserve">Јавна набавка број </w:t>
    </w:r>
    <w:r>
      <w:rPr>
        <w:bCs/>
      </w:rPr>
      <w:t>1/2</w:t>
    </w:r>
    <w:r>
      <w:rPr>
        <w:bCs/>
        <w:lang w:val="sr-Cyrl-RS"/>
      </w:rPr>
      <w:t>5</w:t>
    </w:r>
    <w:r>
      <w:rPr>
        <w:b/>
        <w:lang w:val="sr-Cyrl-RS"/>
      </w:rPr>
      <w:t xml:space="preserve">, </w:t>
    </w:r>
    <w:proofErr w:type="spellStart"/>
    <w:r>
      <w:rPr>
        <w:b/>
      </w:rPr>
      <w:t>услуг</w:t>
    </w:r>
    <w:proofErr w:type="spellEnd"/>
    <w:r>
      <w:rPr>
        <w:b/>
        <w:lang w:val="sr-Cyrl-RS"/>
      </w:rPr>
      <w:t>а</w:t>
    </w:r>
    <w:r>
      <w:rPr>
        <w:b/>
      </w:rPr>
      <w:t xml:space="preserve"> – </w:t>
    </w:r>
    <w:proofErr w:type="spellStart"/>
    <w:r w:rsidRPr="00E048B1">
      <w:t>Поверавање</w:t>
    </w:r>
    <w:proofErr w:type="spellEnd"/>
    <w:r w:rsidRPr="00E048B1">
      <w:t xml:space="preserve"> </w:t>
    </w:r>
    <w:proofErr w:type="spellStart"/>
    <w:r w:rsidRPr="00E048B1">
      <w:t>обављања</w:t>
    </w:r>
    <w:proofErr w:type="spellEnd"/>
    <w:r w:rsidRPr="00E048B1">
      <w:t xml:space="preserve"> </w:t>
    </w:r>
    <w:proofErr w:type="spellStart"/>
    <w:r w:rsidRPr="00E048B1">
      <w:t>комуналне</w:t>
    </w:r>
    <w:proofErr w:type="spellEnd"/>
    <w:r w:rsidRPr="00E048B1">
      <w:t xml:space="preserve"> </w:t>
    </w:r>
    <w:proofErr w:type="spellStart"/>
    <w:r w:rsidRPr="00E048B1">
      <w:t>делатности</w:t>
    </w:r>
    <w:proofErr w:type="spellEnd"/>
    <w:r w:rsidRPr="00E048B1">
      <w:t xml:space="preserve"> </w:t>
    </w:r>
    <w:proofErr w:type="spellStart"/>
    <w:r w:rsidRPr="00E048B1">
      <w:t>јавног</w:t>
    </w:r>
    <w:proofErr w:type="spellEnd"/>
    <w:r w:rsidRPr="00E048B1">
      <w:t xml:space="preserve"> </w:t>
    </w:r>
    <w:proofErr w:type="spellStart"/>
    <w:r w:rsidRPr="00E048B1">
      <w:t>аутобуског</w:t>
    </w:r>
    <w:proofErr w:type="spellEnd"/>
    <w:r w:rsidRPr="00E048B1">
      <w:t xml:space="preserve"> </w:t>
    </w:r>
    <w:proofErr w:type="spellStart"/>
    <w:r w:rsidRPr="00E048B1">
      <w:t>превоза</w:t>
    </w:r>
    <w:proofErr w:type="spellEnd"/>
    <w:r w:rsidRPr="00E048B1">
      <w:t xml:space="preserve"> </w:t>
    </w:r>
    <w:proofErr w:type="spellStart"/>
    <w:r w:rsidRPr="00E048B1">
      <w:t>путника</w:t>
    </w:r>
    <w:proofErr w:type="spellEnd"/>
    <w:r w:rsidRPr="00E048B1">
      <w:t xml:space="preserve"> </w:t>
    </w:r>
    <w:proofErr w:type="spellStart"/>
    <w:r w:rsidRPr="00E048B1">
      <w:t>на</w:t>
    </w:r>
    <w:proofErr w:type="spellEnd"/>
    <w:r w:rsidRPr="00E048B1">
      <w:t xml:space="preserve"> </w:t>
    </w:r>
    <w:proofErr w:type="spellStart"/>
    <w:r w:rsidRPr="00E048B1">
      <w:t>потезу</w:t>
    </w:r>
    <w:proofErr w:type="spellEnd"/>
    <w:r w:rsidRPr="00E048B1">
      <w:t xml:space="preserve"> </w:t>
    </w:r>
    <w:proofErr w:type="spellStart"/>
    <w:r w:rsidRPr="00E048B1">
      <w:t>са</w:t>
    </w:r>
    <w:proofErr w:type="spellEnd"/>
    <w:r w:rsidRPr="00E048B1">
      <w:t xml:space="preserve"> </w:t>
    </w:r>
    <w:proofErr w:type="spellStart"/>
    <w:r w:rsidRPr="00E048B1">
      <w:t>посебним</w:t>
    </w:r>
    <w:proofErr w:type="spellEnd"/>
    <w:r w:rsidRPr="00E048B1">
      <w:t xml:space="preserve"> </w:t>
    </w:r>
    <w:proofErr w:type="spellStart"/>
    <w:r w:rsidRPr="00E048B1">
      <w:t>статусом</w:t>
    </w:r>
    <w:proofErr w:type="spellEnd"/>
    <w:r w:rsidRPr="00E048B1">
      <w:t xml:space="preserve"> (</w:t>
    </w:r>
    <w:proofErr w:type="spellStart"/>
    <w:r w:rsidRPr="00E048B1">
      <w:t>део</w:t>
    </w:r>
    <w:proofErr w:type="spellEnd"/>
    <w:r w:rsidRPr="00E048B1">
      <w:t xml:space="preserve"> </w:t>
    </w:r>
    <w:proofErr w:type="spellStart"/>
    <w:r w:rsidRPr="00E048B1">
      <w:t>радијално-потезних</w:t>
    </w:r>
    <w:proofErr w:type="spellEnd"/>
    <w:r w:rsidRPr="00E048B1">
      <w:t xml:space="preserve"> </w:t>
    </w:r>
    <w:proofErr w:type="spellStart"/>
    <w:r w:rsidRPr="00E048B1">
      <w:t>линија</w:t>
    </w:r>
    <w:proofErr w:type="spellEnd"/>
    <w:r w:rsidRPr="00E048B1">
      <w:t xml:space="preserve"> </w:t>
    </w:r>
    <w:proofErr w:type="spellStart"/>
    <w:r w:rsidRPr="00E048B1">
      <w:t>на</w:t>
    </w:r>
    <w:proofErr w:type="spellEnd"/>
    <w:r w:rsidRPr="00E048B1">
      <w:t xml:space="preserve"> </w:t>
    </w:r>
    <w:proofErr w:type="spellStart"/>
    <w:r w:rsidRPr="00E048B1">
      <w:t>територији</w:t>
    </w:r>
    <w:proofErr w:type="spellEnd"/>
    <w:r w:rsidRPr="00E048B1">
      <w:t xml:space="preserve"> </w:t>
    </w:r>
    <w:proofErr w:type="spellStart"/>
    <w:r w:rsidRPr="00E048B1">
      <w:t>градске</w:t>
    </w:r>
    <w:proofErr w:type="spellEnd"/>
    <w:r w:rsidRPr="00E048B1">
      <w:t xml:space="preserve"> </w:t>
    </w:r>
    <w:proofErr w:type="spellStart"/>
    <w:r w:rsidRPr="00E048B1">
      <w:t>општине</w:t>
    </w:r>
    <w:proofErr w:type="spellEnd"/>
    <w:r w:rsidRPr="00E048B1">
      <w:t xml:space="preserve"> </w:t>
    </w:r>
    <w:proofErr w:type="spellStart"/>
    <w:r w:rsidRPr="00E048B1">
      <w:t>Сурчин</w:t>
    </w:r>
    <w:proofErr w:type="spellEnd"/>
    <w:r w:rsidRPr="00E048B1">
      <w:t xml:space="preserve"> - </w:t>
    </w:r>
    <w:proofErr w:type="spellStart"/>
    <w:r w:rsidRPr="00E048B1">
      <w:t>потез</w:t>
    </w:r>
    <w:proofErr w:type="spellEnd"/>
    <w:r w:rsidRPr="00E048B1">
      <w:t xml:space="preserve"> 600) и </w:t>
    </w:r>
    <w:proofErr w:type="spellStart"/>
    <w:r w:rsidRPr="00E048B1">
      <w:t>комуналне</w:t>
    </w:r>
    <w:proofErr w:type="spellEnd"/>
    <w:r w:rsidRPr="00E048B1">
      <w:t xml:space="preserve"> </w:t>
    </w:r>
    <w:proofErr w:type="spellStart"/>
    <w:r w:rsidRPr="00E048B1">
      <w:t>делатности</w:t>
    </w:r>
    <w:proofErr w:type="spellEnd"/>
    <w:r w:rsidRPr="00E048B1">
      <w:t xml:space="preserve"> </w:t>
    </w:r>
    <w:proofErr w:type="spellStart"/>
    <w:r w:rsidRPr="00E048B1">
      <w:t>jaвног</w:t>
    </w:r>
    <w:proofErr w:type="spellEnd"/>
    <w:r w:rsidRPr="00E048B1">
      <w:t xml:space="preserve"> </w:t>
    </w:r>
    <w:proofErr w:type="spellStart"/>
    <w:r w:rsidRPr="00E048B1">
      <w:t>приградског</w:t>
    </w:r>
    <w:proofErr w:type="spellEnd"/>
    <w:r w:rsidRPr="00E048B1">
      <w:t xml:space="preserve"> и </w:t>
    </w:r>
    <w:proofErr w:type="spellStart"/>
    <w:r w:rsidRPr="00E048B1">
      <w:t>локалног</w:t>
    </w:r>
    <w:proofErr w:type="spellEnd"/>
    <w:r w:rsidRPr="00E048B1">
      <w:t xml:space="preserve"> </w:t>
    </w:r>
    <w:proofErr w:type="spellStart"/>
    <w:r w:rsidRPr="00E048B1">
      <w:t>превоза</w:t>
    </w:r>
    <w:proofErr w:type="spellEnd"/>
    <w:r w:rsidRPr="00E048B1">
      <w:t xml:space="preserve"> </w:t>
    </w:r>
    <w:proofErr w:type="spellStart"/>
    <w:r w:rsidRPr="00E048B1">
      <w:t>путника</w:t>
    </w:r>
    <w:proofErr w:type="spellEnd"/>
    <w:r w:rsidRPr="00E048B1">
      <w:t xml:space="preserve"> </w:t>
    </w:r>
    <w:proofErr w:type="spellStart"/>
    <w:r w:rsidRPr="00E048B1">
      <w:t>на</w:t>
    </w:r>
    <w:proofErr w:type="spellEnd"/>
    <w:r w:rsidRPr="00E048B1">
      <w:t xml:space="preserve"> </w:t>
    </w:r>
    <w:proofErr w:type="spellStart"/>
    <w:r w:rsidRPr="00E048B1">
      <w:t>територији</w:t>
    </w:r>
    <w:proofErr w:type="spellEnd"/>
    <w:r w:rsidRPr="00E048B1">
      <w:t xml:space="preserve"> </w:t>
    </w:r>
    <w:proofErr w:type="spellStart"/>
    <w:r w:rsidRPr="00E048B1">
      <w:t>града</w:t>
    </w:r>
    <w:proofErr w:type="spellEnd"/>
    <w:r w:rsidRPr="00E048B1">
      <w:t xml:space="preserve"> </w:t>
    </w:r>
    <w:proofErr w:type="spellStart"/>
    <w:r w:rsidRPr="00E048B1">
      <w:t>Београда</w:t>
    </w:r>
    <w:proofErr w:type="spellEnd"/>
    <w:r w:rsidRPr="00E048B1">
      <w:t xml:space="preserve"> у </w:t>
    </w:r>
    <w:proofErr w:type="spellStart"/>
    <w:r w:rsidRPr="00E048B1">
      <w:t>поступку</w:t>
    </w:r>
    <w:proofErr w:type="spellEnd"/>
    <w:r w:rsidRPr="00E048B1">
      <w:t xml:space="preserve"> </w:t>
    </w:r>
    <w:proofErr w:type="spellStart"/>
    <w:r w:rsidRPr="00E048B1">
      <w:t>јавно-приватног</w:t>
    </w:r>
    <w:proofErr w:type="spellEnd"/>
    <w:r w:rsidRPr="00E048B1">
      <w:t xml:space="preserve"> </w:t>
    </w:r>
    <w:proofErr w:type="spellStart"/>
    <w:r w:rsidRPr="00E048B1">
      <w:t>партнерства</w:t>
    </w:r>
    <w:proofErr w:type="spellEnd"/>
  </w:p>
  <w:p w14:paraId="21C37399" w14:textId="77777777" w:rsidR="00BF12B1" w:rsidRDefault="00BF12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8F"/>
    <w:rsid w:val="00002B48"/>
    <w:rsid w:val="000148B2"/>
    <w:rsid w:val="00022668"/>
    <w:rsid w:val="00026D83"/>
    <w:rsid w:val="00036443"/>
    <w:rsid w:val="0004044E"/>
    <w:rsid w:val="000820B8"/>
    <w:rsid w:val="001314BC"/>
    <w:rsid w:val="00174001"/>
    <w:rsid w:val="00181A6E"/>
    <w:rsid w:val="00195A2B"/>
    <w:rsid w:val="001D346F"/>
    <w:rsid w:val="001F41D4"/>
    <w:rsid w:val="00204782"/>
    <w:rsid w:val="002200BA"/>
    <w:rsid w:val="00230DAD"/>
    <w:rsid w:val="00237870"/>
    <w:rsid w:val="0028295C"/>
    <w:rsid w:val="00287A65"/>
    <w:rsid w:val="002A139C"/>
    <w:rsid w:val="002A148F"/>
    <w:rsid w:val="002B6E5E"/>
    <w:rsid w:val="002D593A"/>
    <w:rsid w:val="002E26FA"/>
    <w:rsid w:val="002F016D"/>
    <w:rsid w:val="00317729"/>
    <w:rsid w:val="00321261"/>
    <w:rsid w:val="00327376"/>
    <w:rsid w:val="00343FE8"/>
    <w:rsid w:val="00357568"/>
    <w:rsid w:val="003830F7"/>
    <w:rsid w:val="00393699"/>
    <w:rsid w:val="0044301A"/>
    <w:rsid w:val="00443CD8"/>
    <w:rsid w:val="00485A46"/>
    <w:rsid w:val="004A63F3"/>
    <w:rsid w:val="004B7530"/>
    <w:rsid w:val="004E294A"/>
    <w:rsid w:val="004F4E4A"/>
    <w:rsid w:val="00506A6C"/>
    <w:rsid w:val="005074C2"/>
    <w:rsid w:val="00525374"/>
    <w:rsid w:val="00532570"/>
    <w:rsid w:val="0054248E"/>
    <w:rsid w:val="00552849"/>
    <w:rsid w:val="00556E64"/>
    <w:rsid w:val="00577E3A"/>
    <w:rsid w:val="005B7F8E"/>
    <w:rsid w:val="005E1D8D"/>
    <w:rsid w:val="005F0091"/>
    <w:rsid w:val="006076E4"/>
    <w:rsid w:val="0062502F"/>
    <w:rsid w:val="00625A7A"/>
    <w:rsid w:val="00641AF0"/>
    <w:rsid w:val="00667F89"/>
    <w:rsid w:val="0067651C"/>
    <w:rsid w:val="006930B3"/>
    <w:rsid w:val="006C031D"/>
    <w:rsid w:val="006C6877"/>
    <w:rsid w:val="006C7BA8"/>
    <w:rsid w:val="00700578"/>
    <w:rsid w:val="00783078"/>
    <w:rsid w:val="00787720"/>
    <w:rsid w:val="00797A5E"/>
    <w:rsid w:val="007C3E7C"/>
    <w:rsid w:val="007F1407"/>
    <w:rsid w:val="008412A6"/>
    <w:rsid w:val="008628D8"/>
    <w:rsid w:val="00884A8F"/>
    <w:rsid w:val="0089485D"/>
    <w:rsid w:val="008C7529"/>
    <w:rsid w:val="008F5902"/>
    <w:rsid w:val="009458F1"/>
    <w:rsid w:val="00952117"/>
    <w:rsid w:val="009A479B"/>
    <w:rsid w:val="009A5B35"/>
    <w:rsid w:val="00A04B55"/>
    <w:rsid w:val="00A05D4F"/>
    <w:rsid w:val="00A112AD"/>
    <w:rsid w:val="00A24D11"/>
    <w:rsid w:val="00A52602"/>
    <w:rsid w:val="00A63598"/>
    <w:rsid w:val="00AA3FDD"/>
    <w:rsid w:val="00AF3138"/>
    <w:rsid w:val="00B202FD"/>
    <w:rsid w:val="00B34D75"/>
    <w:rsid w:val="00B73836"/>
    <w:rsid w:val="00BB7B8A"/>
    <w:rsid w:val="00BC30BE"/>
    <w:rsid w:val="00BD3290"/>
    <w:rsid w:val="00BF12B1"/>
    <w:rsid w:val="00C12435"/>
    <w:rsid w:val="00C17198"/>
    <w:rsid w:val="00C43877"/>
    <w:rsid w:val="00C62187"/>
    <w:rsid w:val="00C8017D"/>
    <w:rsid w:val="00C91AAD"/>
    <w:rsid w:val="00D107EF"/>
    <w:rsid w:val="00D23CE0"/>
    <w:rsid w:val="00D32037"/>
    <w:rsid w:val="00D37AA8"/>
    <w:rsid w:val="00DA3A1D"/>
    <w:rsid w:val="00E2070A"/>
    <w:rsid w:val="00E57863"/>
    <w:rsid w:val="00E87C84"/>
    <w:rsid w:val="00F80B65"/>
    <w:rsid w:val="00F85762"/>
    <w:rsid w:val="00FA3076"/>
    <w:rsid w:val="00F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5AC2"/>
  <w15:chartTrackingRefBased/>
  <w15:docId w15:val="{782BAF66-1163-4EDF-BE71-C39CD8BB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Viñeta 1"/>
    <w:basedOn w:val="Normal"/>
    <w:link w:val="ListParagraphChar"/>
    <w:uiPriority w:val="34"/>
    <w:qFormat/>
    <w:rsid w:val="004E294A"/>
    <w:pPr>
      <w:ind w:left="720"/>
      <w:contextualSpacing/>
    </w:pPr>
    <w:rPr>
      <w:b/>
      <w:sz w:val="22"/>
      <w:szCs w:val="22"/>
      <w:lang w:val="x-none" w:eastAsia="x-none"/>
    </w:rPr>
  </w:style>
  <w:style w:type="character" w:customStyle="1" w:styleId="ListParagraphChar">
    <w:name w:val="List Paragraph Char"/>
    <w:aliases w:val="Liste 1 Char,List Paragraph1 Char,Viñeta 1 Char"/>
    <w:link w:val="ListParagraph"/>
    <w:uiPriority w:val="34"/>
    <w:qFormat/>
    <w:locked/>
    <w:rsid w:val="004E294A"/>
    <w:rPr>
      <w:rFonts w:ascii="Times New Roman" w:eastAsia="Times New Roman" w:hAnsi="Times New Roman" w:cs="Times New Roman"/>
      <w:b/>
      <w:lang w:val="x-none" w:eastAsia="x-none"/>
    </w:rPr>
  </w:style>
  <w:style w:type="paragraph" w:styleId="BodyText">
    <w:name w:val="Body Text"/>
    <w:basedOn w:val="Normal"/>
    <w:link w:val="BodyTextChar"/>
    <w:rsid w:val="00195A2B"/>
    <w:pPr>
      <w:suppressAutoHyphens/>
      <w:spacing w:after="120" w:line="100" w:lineRule="atLeast"/>
    </w:pPr>
    <w:rPr>
      <w:rFonts w:eastAsia="Arial Unicode MS"/>
      <w:color w:val="000000"/>
      <w:kern w:val="1"/>
      <w:lang w:val="sr-Latn-RS" w:eastAsia="ar-SA"/>
    </w:rPr>
  </w:style>
  <w:style w:type="character" w:customStyle="1" w:styleId="BodyTextChar">
    <w:name w:val="Body Text Char"/>
    <w:basedOn w:val="DefaultParagraphFont"/>
    <w:link w:val="BodyText"/>
    <w:rsid w:val="00195A2B"/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paragraph" w:styleId="Header">
    <w:name w:val="header"/>
    <w:basedOn w:val="Normal"/>
    <w:link w:val="HeaderChar"/>
    <w:uiPriority w:val="99"/>
    <w:unhideWhenUsed/>
    <w:rsid w:val="00BF1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2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1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2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0F0C-690B-4F27-93C7-5EA0D722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Aleksandra Paunovic</cp:lastModifiedBy>
  <cp:revision>49</cp:revision>
  <cp:lastPrinted>2022-06-17T07:46:00Z</cp:lastPrinted>
  <dcterms:created xsi:type="dcterms:W3CDTF">2023-07-06T12:39:00Z</dcterms:created>
  <dcterms:modified xsi:type="dcterms:W3CDTF">2025-03-19T11:56:00Z</dcterms:modified>
</cp:coreProperties>
</file>