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E4" w:rsidRPr="00F27DE4" w:rsidRDefault="00F27DE4" w:rsidP="00F27DE4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7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ТЕХНИЧКА ДОКУМЕНТАЦИЈА И ПЛАНОВИ</w:t>
      </w:r>
    </w:p>
    <w:p w:rsidR="00F27DE4" w:rsidRPr="00F27DE4" w:rsidRDefault="00F27DE4" w:rsidP="00F27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ПРВА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ФАЗА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1.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ПСИХИЈАТРИЈА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/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+2/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изградња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новог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БРГП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1937,83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2.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ДОМ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ЗДРАВЉА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/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+2/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доградња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БРГП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6778,67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3.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ИНТЕРНО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ОДЕЉЕЊЕ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/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+3/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доградња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БРГП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9120,62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4.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ХИРУРГИЈА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/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+5/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доградња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БРГП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13 280,00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5.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КОТЛАРНИЦА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/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/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изграња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новог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БРГП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646,00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6.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ТРАФО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СТАНИЦА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изградња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новог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35-10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Технички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Психијатрија</w:t>
      </w: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Локација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Планира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изградња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оквиру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постојецег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комплекса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7216/1,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улица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Генерала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Живковица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Пазар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Предмет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пројектовања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представља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Психијатрије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садржај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условљени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постојецом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организацијом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садржајима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оквиру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Болнице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здравља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правилнику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класификацији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карактерише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слободностојеци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Позициониран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10.89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регулационе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линије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боцних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ивица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удаљен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7.21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једне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односно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57.14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друге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стране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крају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11.61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парцеле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Пешацки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колски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приступ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омогуцен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пута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Спратност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+2.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Слеме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13.30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односно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536.91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мнв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Венац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13.00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односно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536.61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мнв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Предвидјене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собе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пацијенте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купатилом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ординације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соба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интензивну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негу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лекарске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собе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собе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сестре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соба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нацелника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соба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главну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сестру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дневни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боравак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собе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социјалног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радника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психолога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тоалети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пацијенте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особље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магацине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лекове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материјал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пријемну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амбуланту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шалтер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цекаоница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Психијатрије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позициониран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уз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границу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парцеле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7216/1,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управно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постојеци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грудног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Технолошки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ускладјена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намена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архитектура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конструкција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потребним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избегли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додатни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трошкови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Технички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Здравља</w:t>
      </w: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Предмет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надоградња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здравља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7216/8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Пазар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правилнику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класификацији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карактерише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слободностојеци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Позициониран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21.10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регулационе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линије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боцних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ивица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удаљен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25.7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једне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односно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18.8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друге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стране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крају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2.02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парцеле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Пешацки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колски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приступ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омогуцен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Генрала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Живковица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парцела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11374/1.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Спратност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+2.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Венац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+4.10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односно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523.55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мнв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венац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+8.30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односно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527.75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мнв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венац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+11.60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односно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531.05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мнв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венац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+7.40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односно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526.85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мнв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Предмет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комплетне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пројектоване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савременим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технолошким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тендецијама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медицини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Еволуцијом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медицинске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технологије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променом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пружања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здравствених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услуга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требало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промене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оквиру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унутрашњих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габарита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постојецим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законима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могуцностима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потребама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обезбедили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безбедни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услови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кориснике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здравствених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услуга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запослених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применом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законских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стандарда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врсту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потребно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формирати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адекватне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просторе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технолошким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захтевима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уз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замену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потребних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проширење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капацитета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здравља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надоградње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делова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првог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предшколског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администрације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решена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тако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олакша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коришцење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особама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инвалидитетом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рампе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деловима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денивелација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улазима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Потребно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размотрити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могуцности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физицког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функционалног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повезивања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другим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локацији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Током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пројектована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посебна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пажња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посвецена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побољшању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конфора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повецању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приступацности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особама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инвалидитетом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прилазне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стазе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улазне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рампе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савладавање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висинских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разлика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аутоматска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улазна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врата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делу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хитног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пријема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лифтови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који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постојали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паркинг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испред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улаза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адаптација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тоалета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омогуцена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несметана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хоризонтална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вертикална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комуникација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корисника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кроз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изградња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цетири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пацијенте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особл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Први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главни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централном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холу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поред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централног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степеништа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води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приземл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Други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улаза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поливалентно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лецење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патронажну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службу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уједно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планирана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реоганизација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проширивање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постојецег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улаза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Треци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делу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лецење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предшколаца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одмах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поред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улаза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планирана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реорганизација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систематски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прегледи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болесне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планирана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надградња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Цетврти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планиран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поред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степеништа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води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први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администрацију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приземл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главног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изведе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поред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централног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степенишног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крака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леве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стране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улаз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директно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улазног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Такоде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делу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просторија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машинску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куцицу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налазила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тик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уз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лифтовско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цекаоници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лево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степенишног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крака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демонтажа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постојецег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ветробранског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портала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тиме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формира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један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веци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ходинк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којим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повезује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степенишни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крак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ординације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датом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нивоу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Машинске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куцице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остала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смештене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одмах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уз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лифтовска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приземл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Поред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надградње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планирано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лецење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предшколских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такоде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проширење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постојеце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администрације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сместила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администрација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архива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осталих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комплекса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болнице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оквиру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застареле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подразумева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комплетну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мреже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водовода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канализације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електроенергетских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телекомуникационих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сигналих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машинских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Приликом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мрежа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важецим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прописима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стандардима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савремене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материјале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опрему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Цил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ј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адаптације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побол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служби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омогуцавање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савремене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опреме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побољшање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хигијена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комфора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пацијенте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повецање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сигурност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здравствених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радника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изузетним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ситуацијама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пожар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удар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грома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нестанак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струје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.),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важецим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прописима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стандардима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Бруто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површина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приземл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новопројектованог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након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доградње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износи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3544.05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укупна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бруто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површина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након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интервенција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6778.67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Технички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Интерно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одељења</w:t>
      </w: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парцели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поред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интерног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налази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још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БРГП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надземно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новопројектованог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износи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17797.17.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Индекс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заузетости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парцеле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новопројектованог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износи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18.71%.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Индекс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изградености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новопројектованог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износи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54.16%.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класификацији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спада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болнице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остале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зграде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здравствену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заштиту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Укупна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бруто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развијена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градевинска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површина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новопројектованог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износи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9120.62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Укупна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нето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површина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7391.36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Терен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парцел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природном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правцу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североисток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југозапад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затеценом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стању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локацији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апсулутне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износе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A31CE1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516.94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мнв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519.56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мнв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Највиша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апсолутна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износи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536.35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мнв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највиша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реклативна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+15.85.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спратности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+3.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Светла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висина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сутена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приземља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износи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325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без</w:t>
      </w:r>
      <w:r w:rsidR="00A31CE1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спуштеног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плафона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износи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380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трецем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налазе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техницке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просторије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креце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300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325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висина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сутерена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приземља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345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405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ИИИ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338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370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Вецина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просторија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природно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вентилисана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осветљена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Обзиром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паралелно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израдом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изводи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просторија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рендгена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сутерену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тај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доградује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затецено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Интерног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разликује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тренутка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обиласка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локације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месту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некадашњег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рендгена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позиционирана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ангио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рендген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измештен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Наиме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који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изводи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имплементиран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сутерена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ознацено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предмет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интервенције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новој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организацији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сутерену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позиционирана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патологије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онкологије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рендген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ангио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приземљу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налази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специјалистицка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клиника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дијализа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интернистицко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гастроентерологија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кардиологије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дневна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болница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интернистицко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ендокринологија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хематологија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дневна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болница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ИИИ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смештене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техницке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просторије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смештај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машинске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опреме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остале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опреме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потреби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оквиру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застареле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подразумева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комплетну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мреже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водовода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канализације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електроенергетских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телекомуникационих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сигналих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машинских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Приликом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мрежа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важецим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прописима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стандардима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савремене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материјале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опрему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Цил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ј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адаптације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побол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служби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омогуцавање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савремене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опреме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побољшање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хигијена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комфора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пацијенте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повецање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сигурност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здравствених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радника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изузетним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ситуацијама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пожар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удар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грома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нестанак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струје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.),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важецим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прописима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стандардима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Технички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хирургије</w:t>
      </w: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Предмет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пројектовања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здравствена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зграда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хирургије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Разуденог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облика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дужном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страном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слеменом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правцу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југозапад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североисток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спратности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својим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садржајем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задовољава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потребе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пружања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хируршког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лецења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ХИРУРГИЈЕ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налази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кп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7216/1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улазом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улице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Генерала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Живковица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северне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стране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опште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болнице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Пазар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јужне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стране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Медицински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школски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центар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истоцне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западне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стране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опште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болнице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Пазар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Постојеци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хирушки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блок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надоградјује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један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укупна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спратност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Доградјени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спртности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реконструише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доградује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због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побољшања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одељења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омогуци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савремене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опреме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побољша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хигијена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комфор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пацијенте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повеца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сигурност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здравстевних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радника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изузетним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ситуацијама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пројектован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испуни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услове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унапредјења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енергетске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ефикасности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склоповима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конструкције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отпорним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пожар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пројектовани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омогуцава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несметано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кретање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лицима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инвалидитетом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оквиру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застареле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подразумева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комплетну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мреже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водовода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канализације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електроенергетских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телекомуникационих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сигналих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машинских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Приликом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мрежа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важецим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прописима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стандардима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савремене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материјале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опрему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Цил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ј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реконструкције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адаптације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побол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служби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омогуцавање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савремене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опреме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побољшање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хигијена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комфора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пацијенте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повецање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сигурност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пацијената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здравствених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радника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изузетним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ситуацијама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пожар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удар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грома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нестанак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струје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.),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важецим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прописима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стандардима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Технички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котларница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дрвну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биомасу</w:t>
      </w: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Циљ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пројекта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представља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израду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техницко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технолошког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решења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топловоде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котларнице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биомасу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дрвену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сецку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лако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лож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уље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производњу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топлотне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енергије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користила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подмиривање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потреба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топлотном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енергијом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неопходном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током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грејне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сезоне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постојецих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новопланирних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кругу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Опште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болнице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Пазару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Прикљуцивање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објеката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планирану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топлану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радило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фазе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Изградњом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пуштањем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рад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котларнице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биомасу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вршила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замена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употребе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мазута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котларници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другој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фази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неопходно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предвидети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инсталацију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парног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природни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гас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уклонити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постојеце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надземне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мазутне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резервоаре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извршити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пребацивање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котла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лако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лож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уље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природни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гас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због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цега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фази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предвидја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комбиновани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горионик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Новопројектована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котларница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биомасу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лако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лож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уље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ситуационо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је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предвиђена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смести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катастарској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парцели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7216/4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Пазар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012B" w:rsidRPr="007543F9" w:rsidRDefault="00AE774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Технички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опис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Трафо</w:t>
      </w:r>
      <w:r w:rsidR="0024012B"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станица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Планирана је ТС 35/10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“Болница-Нови Пазар” инсталисане снаге 2×8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МВА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Локација је на надморској висини мањој од 1000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Планирана су два енергетска трансформатора снаге по 8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МВА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на одговарајућим темељима са кадама и уљном канализацијом, смештени на отвореном, међусобно одвојени противпожарним зидом. Темеље, каде и уљну канализацију пројектовати за максималну могућу снагу по трансформаторској јединици од по 12,5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МВА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 погонској згради биће смештено разводно постројење 35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разводно постројење 10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сопствена потрошња, заштита и управљање и пратећи орман телекомуникација.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Зграда је планирана као приземна, са одговарајућим кабловским каналима – простором испод постројења 35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10 </w:t>
      </w:r>
      <w:r w:rsidR="00AE77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</w:t>
      </w: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Круг трафо станице је одговарајуће ограђен, са одговарајућом нивелацијом и уређењем терена, са реализованим саобраћајницама и стазама, уређеним зеленим површинама и озелењавањем.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543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Опремљен је потребним уземљивачким и громобранским инсталацијама и осветљењем.</w:t>
      </w:r>
    </w:p>
    <w:p w:rsidR="0024012B" w:rsidRPr="007543F9" w:rsidRDefault="0024012B" w:rsidP="00240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27DE4" w:rsidRPr="007543F9" w:rsidRDefault="00F27DE4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 смислу Закона о управљању отпадом ("Сл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</w:rPr>
        <w:t xml:space="preserve">ужбени 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 РС", бр. 36/09, 88/10 и 14/16), Закона о транспорту опасне робе ("Сл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</w:rPr>
        <w:t xml:space="preserve">ужбени 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 РС", бр. 104/16) и Правилника о начину складиштења, паковању и обележавању опасног отпада ("Сл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</w:rPr>
        <w:t>ужбени гласник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бр. 92/10), за грађевински материјал који се сматра опасним отпадом, односно за транспорт, складиштење, третман и одлагање задужена су предузећа овлашћена од стране Агенције за заштиту животне средине Министарства пољопривреде и зажтите животне средине. У случају да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</w:rPr>
        <w:t xml:space="preserve"> и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забрани п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онуђач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односно Извођач радова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не поседује процедуре према важећим стандардима може ангажовати стручно лице за извршење предметне позиције радова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за део радова за које је лиценца неопходна.</w:t>
      </w:r>
    </w:p>
    <w:p w:rsidR="00F27DE4" w:rsidRPr="007543F9" w:rsidRDefault="00F27DE4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Када је у питању неопасан отпад, у складу са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</w:rPr>
        <w:t xml:space="preserve"> чланом 70. став 1. тачка 1) 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о управљању отпадом ("Сл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</w:rPr>
        <w:t xml:space="preserve">ужбени 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 РС", бр. 36/09, 88/10 и 14/16), дозвола за транспорт отпада није потребна ако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сам произвођач отпада транспортује отпад у постројење за управљање отпадом које за то има дозволу, користећи своја транспортна средства, а количине отпада не прелазе 1000 килограма по једној пошиљци, искључујући опасан отпад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7543F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 супротном, неопходно је ангажовање стручног лица (Оператера) за извршење предметне позиције радова.</w:t>
      </w:r>
    </w:p>
    <w:p w:rsidR="00F27DE4" w:rsidRPr="007543F9" w:rsidRDefault="00F27DE4" w:rsidP="00F27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Израда пројектно-техничке документације и извођење радова који су описани у техничким захтевима ове конкурсне документације, морају се обављати у складу са домаћим и међународним позитивноправно прописима, укључујући, али не ограничавајући се на:</w:t>
      </w:r>
    </w:p>
    <w:p w:rsidR="00F27DE4" w:rsidRPr="007543F9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планирању и изградњи (''Службени гласник РС'', бр. 72/09, 81/09‐исправка, 64/10 одлука УС, 24/11 и 121/12, 42/13–одлука УС, 50/2013–одлука УС, 98/2013–одлука УС, 132/14, 145/14, 83/18, 31/19</w:t>
      </w:r>
      <w:r w:rsidR="003E592D"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, </w:t>
      </w: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37/19- др. закон</w:t>
      </w:r>
      <w:r w:rsidR="003E592D"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 9/20</w:t>
      </w:r>
      <w:r w:rsidR="007543F9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="007543F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и 52/21</w:t>
      </w:r>
      <w:bookmarkStart w:id="0" w:name="_GoBack"/>
      <w:bookmarkEnd w:id="0"/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);</w:t>
      </w:r>
    </w:p>
    <w:p w:rsidR="00F27DE4" w:rsidRPr="007543F9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процени утицаја на животну средину („Службени гласник РС“, бр. 135/04, 36/09);</w:t>
      </w:r>
    </w:p>
    <w:p w:rsidR="00F27DE4" w:rsidRPr="007543F9" w:rsidRDefault="00527A96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hyperlink r:id="rId5" w:tooltip="Download Закон о управљању отпадом  (&quot;Сл.гласник РС&quot;, бр. 36/2009, 88/2010 и 14/2016), " w:history="1">
        <w:r w:rsidR="00F27DE4" w:rsidRPr="007543F9">
          <w:rPr>
            <w:rFonts w:ascii="Times New Roman" w:eastAsia="Times New Roman" w:hAnsi="Times New Roman" w:cs="Times New Roman"/>
            <w:sz w:val="24"/>
            <w:szCs w:val="24"/>
            <w:lang w:val="ru-RU" w:eastAsia="de-DE"/>
          </w:rPr>
          <w:t>Закон о управљању отпадом ("Службени гласник РС", бр. 36/09, 88/10, 14/16 и 95/18 – др. закон)</w:t>
        </w:r>
      </w:hyperlink>
    </w:p>
    <w:p w:rsidR="00F27DE4" w:rsidRPr="007543F9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животне средине ("Службени гласник РС", бр. 135/04, 36/09, 36/09 - др. закон , 72/09 - др. закон, 43/11 - УС, 14/ 16, 76/18 и 95/18 – др. закон);</w:t>
      </w:r>
    </w:p>
    <w:p w:rsidR="00F27DE4" w:rsidRPr="007543F9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интегрисаном спречавању и контроли загађивања животне средине („Службени гласник РС“, бр. 35/04 и 25/15);</w:t>
      </w:r>
    </w:p>
    <w:p w:rsidR="00F27DE4" w:rsidRPr="007543F9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ваздуха („Службени гласник РС“, бр. 36/09 и 10/13);</w:t>
      </w:r>
    </w:p>
    <w:p w:rsidR="00F27DE4" w:rsidRPr="007543F9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водама („Службени гласник РС“, бр. 30/10, 93/12, 101/16, 95/18 и 95/18 – др. закон);</w:t>
      </w:r>
    </w:p>
    <w:p w:rsidR="00F27DE4" w:rsidRPr="007543F9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буке у животној средини („Службени гласник РС”, бр. 36/09 и 88/10);</w:t>
      </w:r>
    </w:p>
    <w:p w:rsidR="00F27DE4" w:rsidRPr="007543F9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нејонизујућих зрачења („Службени гласник РС“, бр. 36/09);</w:t>
      </w:r>
    </w:p>
    <w:p w:rsidR="00F27DE4" w:rsidRPr="007543F9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енергетици („Службени гласник РС“, бр. 145/14 и 95/18 – др. закон);</w:t>
      </w:r>
    </w:p>
    <w:p w:rsidR="00F27DE4" w:rsidRPr="007543F9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пожара („Службени гласник РС“, бр. 111/09, 20/15, 87/18 и 87/18 – др. закон);</w:t>
      </w:r>
    </w:p>
    <w:p w:rsidR="00205B6D" w:rsidRPr="007543F9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7543F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безбедности и здрављу на раду („Службени гласник РС“, бр. 101/05 и 91/15, и 113/17- др. закон).</w:t>
      </w:r>
    </w:p>
    <w:sectPr w:rsidR="00205B6D" w:rsidRPr="007543F9" w:rsidSect="00072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48F5"/>
    <w:multiLevelType w:val="hybridMultilevel"/>
    <w:tmpl w:val="33AEE260"/>
    <w:lvl w:ilvl="0" w:tplc="31B668F2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7F0C"/>
    <w:rsid w:val="00027F0C"/>
    <w:rsid w:val="00072C8E"/>
    <w:rsid w:val="001476CF"/>
    <w:rsid w:val="00205B6D"/>
    <w:rsid w:val="00230603"/>
    <w:rsid w:val="0024012B"/>
    <w:rsid w:val="00272C0F"/>
    <w:rsid w:val="003E592D"/>
    <w:rsid w:val="00527A96"/>
    <w:rsid w:val="006E4FEC"/>
    <w:rsid w:val="007543F9"/>
    <w:rsid w:val="008024B9"/>
    <w:rsid w:val="00A31CE1"/>
    <w:rsid w:val="00AE774B"/>
    <w:rsid w:val="00F27DE4"/>
    <w:rsid w:val="00FC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2321</Words>
  <Characters>13233</Characters>
  <Application>Microsoft Office Word</Application>
  <DocSecurity>0</DocSecurity>
  <Lines>110</Lines>
  <Paragraphs>31</Paragraphs>
  <ScaleCrop>false</ScaleCrop>
  <Company>PIMO</Company>
  <LinksUpToDate>false</LinksUpToDate>
  <CharactersWithSpaces>15523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Krneta</dc:creator>
  <cp:lastModifiedBy>mirelat</cp:lastModifiedBy>
  <cp:revision>2</cp:revision>
  <dcterms:created xsi:type="dcterms:W3CDTF">2022-07-08T08:40:00Z</dcterms:created>
  <dcterms:modified xsi:type="dcterms:W3CDTF">2022-07-08T08:40:00Z</dcterms:modified>
</cp:coreProperties>
</file>