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024" w:rsidRPr="00214688" w:rsidRDefault="00945024" w:rsidP="00945024">
      <w:pPr>
        <w:pStyle w:val="Heading2"/>
        <w:rPr>
          <w:b w:val="0"/>
          <w:bCs w:val="0"/>
          <w:i w:val="0"/>
          <w:iCs w:val="0"/>
          <w:lang w:val="en-US"/>
        </w:rPr>
      </w:pPr>
      <w:r w:rsidRPr="00214688">
        <w:rPr>
          <w:lang w:val="en-US"/>
        </w:rPr>
        <w:t>TECHNICAL DOCUMENTATION AND PLANS</w:t>
      </w:r>
    </w:p>
    <w:p w:rsidR="00945024" w:rsidRPr="00214688" w:rsidRDefault="00945024" w:rsidP="00945024">
      <w:pPr>
        <w:rPr>
          <w:color w:val="000000"/>
          <w:szCs w:val="24"/>
        </w:rPr>
      </w:pPr>
    </w:p>
    <w:p w:rsidR="004E4781" w:rsidRPr="00F32B12" w:rsidRDefault="004E4781" w:rsidP="004E4781">
      <w:pPr>
        <w:spacing w:before="200" w:line="276" w:lineRule="auto"/>
        <w:jc w:val="both"/>
        <w:rPr>
          <w:rFonts w:eastAsia="Calibri" w:cs="Arial"/>
          <w:b/>
          <w:bCs/>
        </w:rPr>
      </w:pPr>
      <w:r w:rsidRPr="00F32B12">
        <w:rPr>
          <w:rFonts w:eastAsia="Calibri" w:cs="Arial"/>
          <w:b/>
          <w:bCs/>
        </w:rPr>
        <w:t>FIRST "A" PHASE</w:t>
      </w:r>
    </w:p>
    <w:p w:rsidR="004E4781" w:rsidRPr="00F32B12" w:rsidRDefault="004E4781" w:rsidP="004E4781">
      <w:pPr>
        <w:spacing w:before="200" w:line="276" w:lineRule="auto"/>
        <w:jc w:val="both"/>
        <w:rPr>
          <w:rFonts w:eastAsia="Calibri" w:cs="Arial"/>
          <w:bCs/>
        </w:rPr>
      </w:pPr>
      <w:r w:rsidRPr="00F32B12">
        <w:rPr>
          <w:rFonts w:eastAsia="Calibri" w:cs="Arial"/>
          <w:bCs/>
        </w:rPr>
        <w:t>1. PSYCHIATRY / G + 2 / construction of a new building GFA 1937,83m2</w:t>
      </w:r>
    </w:p>
    <w:p w:rsidR="004E4781" w:rsidRPr="00F32B12" w:rsidRDefault="004E4781" w:rsidP="004E4781">
      <w:pPr>
        <w:spacing w:before="200" w:line="276" w:lineRule="auto"/>
        <w:jc w:val="both"/>
        <w:rPr>
          <w:rFonts w:eastAsia="Calibri" w:cs="Arial"/>
          <w:bCs/>
        </w:rPr>
      </w:pPr>
      <w:r w:rsidRPr="00F32B12">
        <w:rPr>
          <w:rFonts w:eastAsia="Calibri" w:cs="Arial"/>
          <w:bCs/>
        </w:rPr>
        <w:t>2. HEALTH CENTER / G + 2 / expansion and reconstruction GFA 6778.67 m2</w:t>
      </w:r>
    </w:p>
    <w:p w:rsidR="004E4781" w:rsidRPr="00F32B12" w:rsidRDefault="004E4781" w:rsidP="004E4781">
      <w:pPr>
        <w:spacing w:before="200" w:line="276" w:lineRule="auto"/>
        <w:jc w:val="both"/>
        <w:rPr>
          <w:rFonts w:eastAsia="Calibri" w:cs="Arial"/>
          <w:bCs/>
        </w:rPr>
      </w:pPr>
      <w:r w:rsidRPr="00F32B12">
        <w:rPr>
          <w:rFonts w:eastAsia="Calibri" w:cs="Arial"/>
          <w:bCs/>
        </w:rPr>
        <w:t>3. INTERNAL DEPARTMENT / B + G + 3 / expansion and reconstruction GFA 9120.62 m2</w:t>
      </w:r>
    </w:p>
    <w:p w:rsidR="004E4781" w:rsidRPr="00F32B12" w:rsidRDefault="004E4781" w:rsidP="004E4781">
      <w:pPr>
        <w:spacing w:before="200" w:line="276" w:lineRule="auto"/>
        <w:jc w:val="both"/>
        <w:rPr>
          <w:rFonts w:eastAsia="Calibri" w:cs="Arial"/>
          <w:bCs/>
        </w:rPr>
      </w:pPr>
      <w:r w:rsidRPr="00F32B12">
        <w:rPr>
          <w:rFonts w:eastAsia="Calibri" w:cs="Arial"/>
          <w:bCs/>
        </w:rPr>
        <w:t>4. SURGERY / G + 5 / expansion and reconstruction GFA 13 280,00 m2</w:t>
      </w:r>
    </w:p>
    <w:p w:rsidR="004E4781" w:rsidRPr="00F32B12" w:rsidRDefault="004E4781" w:rsidP="004E4781">
      <w:pPr>
        <w:spacing w:before="200" w:line="276" w:lineRule="auto"/>
        <w:jc w:val="both"/>
        <w:rPr>
          <w:rFonts w:eastAsia="Calibri" w:cs="Arial"/>
          <w:bCs/>
        </w:rPr>
      </w:pPr>
      <w:r w:rsidRPr="00F32B12">
        <w:rPr>
          <w:rFonts w:eastAsia="Calibri" w:cs="Arial"/>
          <w:bCs/>
        </w:rPr>
        <w:t>5. BOILER ROOM / G / construction of a new building GFA 646.00 m2</w:t>
      </w:r>
    </w:p>
    <w:p w:rsidR="004E4781" w:rsidRPr="00F32B12" w:rsidRDefault="004E4781" w:rsidP="004E4781">
      <w:pPr>
        <w:spacing w:before="200" w:line="276" w:lineRule="auto"/>
        <w:jc w:val="both"/>
        <w:rPr>
          <w:rFonts w:eastAsia="Calibri" w:cs="Arial"/>
          <w:bCs/>
        </w:rPr>
      </w:pPr>
      <w:r w:rsidRPr="00F32B12">
        <w:rPr>
          <w:rFonts w:eastAsia="Calibri" w:cs="Arial"/>
          <w:bCs/>
        </w:rPr>
        <w:t>6. TRANSFORMER STATION construction of a new building 35-10kV</w:t>
      </w:r>
    </w:p>
    <w:p w:rsidR="004E4781" w:rsidRPr="00F32B12" w:rsidRDefault="004E4781" w:rsidP="004E4781">
      <w:pPr>
        <w:spacing w:before="200" w:line="276" w:lineRule="auto"/>
        <w:jc w:val="both"/>
        <w:rPr>
          <w:rFonts w:eastAsia="Calibri" w:cs="Arial"/>
          <w:b/>
          <w:bCs/>
        </w:rPr>
      </w:pPr>
      <w:r w:rsidRPr="00F32B12">
        <w:rPr>
          <w:rFonts w:eastAsia="Calibri" w:cs="Arial"/>
          <w:bCs/>
        </w:rPr>
        <w:t xml:space="preserve">Technical description </w:t>
      </w:r>
      <w:r w:rsidRPr="00F32B12">
        <w:rPr>
          <w:rFonts w:eastAsia="Calibri" w:cs="Arial"/>
          <w:b/>
          <w:bCs/>
        </w:rPr>
        <w:t>- Psychiatry</w:t>
      </w:r>
    </w:p>
    <w:p w:rsidR="004E4781" w:rsidRPr="00F32B12" w:rsidRDefault="004E4781" w:rsidP="004E4781">
      <w:pPr>
        <w:spacing w:before="200" w:line="276" w:lineRule="auto"/>
        <w:jc w:val="both"/>
        <w:rPr>
          <w:rFonts w:eastAsia="Calibri" w:cs="Arial"/>
          <w:bCs/>
        </w:rPr>
      </w:pPr>
      <w:r w:rsidRPr="00F32B12">
        <w:rPr>
          <w:rFonts w:eastAsia="Calibri" w:cs="Arial"/>
          <w:bCs/>
        </w:rPr>
        <w:t xml:space="preserve">Location- It is planned to build a facility within the existing complex, on </w:t>
      </w:r>
      <w:proofErr w:type="spellStart"/>
      <w:r w:rsidRPr="00F32B12">
        <w:rPr>
          <w:rFonts w:eastAsia="Calibri" w:cs="Arial"/>
          <w:bCs/>
        </w:rPr>
        <w:t>c.p</w:t>
      </w:r>
      <w:proofErr w:type="spellEnd"/>
      <w:r w:rsidRPr="00F32B12">
        <w:rPr>
          <w:rFonts w:eastAsia="Calibri" w:cs="Arial"/>
          <w:bCs/>
        </w:rPr>
        <w:t xml:space="preserve">. no. 7216/1, </w:t>
      </w:r>
      <w:proofErr w:type="spellStart"/>
      <w:r w:rsidRPr="00F32B12">
        <w:rPr>
          <w:rFonts w:eastAsia="Calibri" w:cs="Arial"/>
          <w:bCs/>
        </w:rPr>
        <w:t>Generala</w:t>
      </w:r>
      <w:proofErr w:type="spellEnd"/>
      <w:r w:rsidRPr="00F32B12">
        <w:rPr>
          <w:rFonts w:eastAsia="Calibri" w:cs="Arial"/>
          <w:bCs/>
        </w:rPr>
        <w:t xml:space="preserve"> </w:t>
      </w:r>
      <w:proofErr w:type="spellStart"/>
      <w:r w:rsidRPr="00F32B12">
        <w:rPr>
          <w:rFonts w:eastAsia="Calibri" w:cs="Arial"/>
          <w:bCs/>
        </w:rPr>
        <w:t>Zivkovica</w:t>
      </w:r>
      <w:proofErr w:type="spellEnd"/>
      <w:r w:rsidRPr="00F32B12">
        <w:rPr>
          <w:rFonts w:eastAsia="Calibri" w:cs="Arial"/>
          <w:bCs/>
        </w:rPr>
        <w:t xml:space="preserve"> 1 Street in Municipality Novi </w:t>
      </w:r>
      <w:proofErr w:type="spellStart"/>
      <w:r w:rsidRPr="00F32B12">
        <w:rPr>
          <w:rFonts w:eastAsia="Calibri" w:cs="Arial"/>
          <w:bCs/>
        </w:rPr>
        <w:t>Pazar</w:t>
      </w:r>
      <w:proofErr w:type="spellEnd"/>
      <w:r w:rsidRPr="00F32B12">
        <w:rPr>
          <w:rFonts w:eastAsia="Calibri" w:cs="Arial"/>
          <w:bCs/>
        </w:rPr>
        <w:t xml:space="preserve">. The subject of design is the facility of Psychiatry department. The organization and content of the facility are conditioned by the existing organization and facilities within the facility of the Hospital and the Health Center. According to the Rulebook on the classification of buildings, the building is characterized as free-standing. It is positioned 10.89 m from the regulation line, while it is 7.21 m away from the side edges on one side and 57.14 m on the other, and finally 11.61 m from the rear edge of the plot. Pedestrian and car access to the building is provided from the street. The number of </w:t>
      </w:r>
      <w:proofErr w:type="spellStart"/>
      <w:r w:rsidRPr="00F32B12">
        <w:rPr>
          <w:rFonts w:eastAsia="Calibri" w:cs="Arial"/>
          <w:bCs/>
        </w:rPr>
        <w:t>storeys</w:t>
      </w:r>
      <w:proofErr w:type="spellEnd"/>
      <w:r w:rsidRPr="00F32B12">
        <w:rPr>
          <w:rFonts w:eastAsia="Calibri" w:cs="Arial"/>
          <w:bCs/>
        </w:rPr>
        <w:t xml:space="preserve"> is G + 2. The ridge is at an altitude of 13.30 m, or 536.91 m above sea level. </w:t>
      </w:r>
      <w:proofErr w:type="spellStart"/>
      <w:r w:rsidRPr="00F32B12">
        <w:rPr>
          <w:rFonts w:eastAsia="Calibri" w:cs="Arial"/>
          <w:bCs/>
        </w:rPr>
        <w:t>Venac</w:t>
      </w:r>
      <w:proofErr w:type="spellEnd"/>
      <w:r w:rsidRPr="00F32B12">
        <w:rPr>
          <w:rFonts w:eastAsia="Calibri" w:cs="Arial"/>
          <w:bCs/>
        </w:rPr>
        <w:t xml:space="preserve"> is at an altitude of 13.00 m, or 536.61 m above sea level. There are rooms for patients with bathroom, offices, intensive care room, doctor's rooms, rooms for nurses, room for the mayor, room for head nurse, living room, rooms for social worker and psychologist, toilets for patients and staff, drug stores and materials, a reception clinic, a counter, as well as a waiting room. The Psychiatry facility is positioned along the border of plot 7216/1, perpendicular to the existing thoracic ward facility. The purpose, architecture, as well as the construction of the building are technologically harmonized with all the necessary installations in order to avoid additional costs.</w:t>
      </w:r>
    </w:p>
    <w:p w:rsidR="004E4781" w:rsidRPr="00F32B12" w:rsidRDefault="004E4781" w:rsidP="004E4781">
      <w:pPr>
        <w:spacing w:before="200" w:line="276" w:lineRule="auto"/>
        <w:jc w:val="both"/>
        <w:rPr>
          <w:rFonts w:eastAsia="Calibri" w:cs="Arial"/>
          <w:bCs/>
        </w:rPr>
      </w:pPr>
      <w:r w:rsidRPr="00F32B12">
        <w:rPr>
          <w:rFonts w:eastAsia="Calibri" w:cs="Arial"/>
          <w:bCs/>
        </w:rPr>
        <w:t xml:space="preserve">Technical description </w:t>
      </w:r>
      <w:r w:rsidRPr="00F32B12">
        <w:rPr>
          <w:rFonts w:eastAsia="Calibri" w:cs="Arial"/>
          <w:b/>
          <w:bCs/>
        </w:rPr>
        <w:t>- Health Center</w:t>
      </w:r>
    </w:p>
    <w:p w:rsidR="004E4781" w:rsidRPr="00F32B12" w:rsidRDefault="004E4781" w:rsidP="004E4781">
      <w:pPr>
        <w:spacing w:before="200" w:line="276" w:lineRule="auto"/>
        <w:jc w:val="both"/>
        <w:rPr>
          <w:rFonts w:eastAsia="Calibri" w:cs="Arial"/>
          <w:bCs/>
        </w:rPr>
      </w:pPr>
      <w:r w:rsidRPr="00F32B12">
        <w:rPr>
          <w:rFonts w:eastAsia="Calibri" w:cs="Arial"/>
          <w:bCs/>
        </w:rPr>
        <w:t xml:space="preserve">The purpose of the project is the "expansion” (means extension of existing or construction of new parts of the building as per terms of the Serbian Law on Planning and Construction) and reconstruction of the Health Center on </w:t>
      </w:r>
      <w:proofErr w:type="spellStart"/>
      <w:r w:rsidRPr="00F32B12">
        <w:rPr>
          <w:rFonts w:eastAsia="Calibri" w:cs="Arial"/>
          <w:bCs/>
        </w:rPr>
        <w:t>c.p</w:t>
      </w:r>
      <w:proofErr w:type="spellEnd"/>
      <w:r w:rsidRPr="00F32B12">
        <w:rPr>
          <w:rFonts w:eastAsia="Calibri" w:cs="Arial"/>
          <w:bCs/>
        </w:rPr>
        <w:t xml:space="preserve">. 7216/8 </w:t>
      </w:r>
      <w:proofErr w:type="gramStart"/>
      <w:r w:rsidRPr="00F32B12">
        <w:rPr>
          <w:rFonts w:eastAsia="Calibri" w:cs="Arial"/>
          <w:bCs/>
        </w:rPr>
        <w:t>in .</w:t>
      </w:r>
      <w:proofErr w:type="gramEnd"/>
      <w:r w:rsidRPr="00F32B12">
        <w:rPr>
          <w:rFonts w:eastAsia="Calibri" w:cs="Arial"/>
          <w:bCs/>
        </w:rPr>
        <w:t xml:space="preserve"> Novi </w:t>
      </w:r>
      <w:proofErr w:type="spellStart"/>
      <w:r w:rsidRPr="00F32B12">
        <w:rPr>
          <w:rFonts w:eastAsia="Calibri" w:cs="Arial"/>
          <w:bCs/>
        </w:rPr>
        <w:t>Pazar</w:t>
      </w:r>
      <w:proofErr w:type="spellEnd"/>
      <w:r w:rsidRPr="00F32B12">
        <w:rPr>
          <w:rFonts w:eastAsia="Calibri" w:cs="Arial"/>
          <w:bCs/>
        </w:rPr>
        <w:t xml:space="preserve">. It is positioned 21.10 m from the regulation line, while it is 25.7 m away from the side edges on one side and 18.8 m on the other, and finally 2.02 m from the rear edge of the plot. Pedestrian and car access to the building is provided from </w:t>
      </w:r>
      <w:proofErr w:type="spellStart"/>
      <w:r w:rsidRPr="00F32B12">
        <w:rPr>
          <w:rFonts w:eastAsia="Calibri" w:cs="Arial"/>
          <w:bCs/>
        </w:rPr>
        <w:t>Genrala</w:t>
      </w:r>
      <w:proofErr w:type="spellEnd"/>
      <w:r w:rsidRPr="00F32B12">
        <w:rPr>
          <w:rFonts w:eastAsia="Calibri" w:cs="Arial"/>
          <w:bCs/>
        </w:rPr>
        <w:t xml:space="preserve"> </w:t>
      </w:r>
      <w:proofErr w:type="spellStart"/>
      <w:r w:rsidRPr="00F32B12">
        <w:rPr>
          <w:rFonts w:eastAsia="Calibri" w:cs="Arial"/>
          <w:bCs/>
        </w:rPr>
        <w:t>Živkovica</w:t>
      </w:r>
      <w:proofErr w:type="spellEnd"/>
      <w:r w:rsidRPr="00F32B12">
        <w:rPr>
          <w:rFonts w:eastAsia="Calibri" w:cs="Arial"/>
          <w:bCs/>
        </w:rPr>
        <w:t xml:space="preserve"> Street - plot no. 11374/1. The number of levels is G + 2. The </w:t>
      </w:r>
      <w:r w:rsidRPr="00F32B12">
        <w:rPr>
          <w:rFonts w:eastAsia="Calibri" w:cs="Arial"/>
          <w:bCs/>
        </w:rPr>
        <w:lastRenderedPageBreak/>
        <w:t>subject of reconstruction are complete installations in the building designed in accordance with modern technological trends in medicine.</w:t>
      </w:r>
    </w:p>
    <w:p w:rsidR="004E4781" w:rsidRPr="00F32B12" w:rsidRDefault="004E4781" w:rsidP="004E4781">
      <w:pPr>
        <w:spacing w:before="200" w:line="276" w:lineRule="auto"/>
        <w:jc w:val="both"/>
        <w:rPr>
          <w:rFonts w:eastAsia="Calibri" w:cs="Arial"/>
          <w:bCs/>
        </w:rPr>
      </w:pPr>
      <w:r w:rsidRPr="00F32B12">
        <w:rPr>
          <w:rFonts w:eastAsia="Calibri" w:cs="Arial"/>
          <w:bCs/>
        </w:rPr>
        <w:t>In order to provide safe conditions for users of health services and for the work of employees by applying new legal measures and standards for this type of facilities, it is necessary to form adequate spaces in accordance with technological requirements and replace the necessary installations. It is planned to expand the capacity of the health center in the form of upgrading parts of the first floor - part of the preschool and part of the administration. It is necessary to consider the possibilities and manner of physical and functional connection of the facility with other facilities on the site.</w:t>
      </w:r>
    </w:p>
    <w:p w:rsidR="004E4781" w:rsidRPr="00F32B12" w:rsidRDefault="004E4781" w:rsidP="004E4781">
      <w:pPr>
        <w:spacing w:before="200" w:line="276" w:lineRule="auto"/>
        <w:jc w:val="both"/>
        <w:rPr>
          <w:rFonts w:eastAsia="Calibri" w:cs="Arial"/>
          <w:bCs/>
        </w:rPr>
      </w:pPr>
      <w:r w:rsidRPr="00F32B12">
        <w:rPr>
          <w:rFonts w:eastAsia="Calibri" w:cs="Arial"/>
          <w:bCs/>
        </w:rPr>
        <w:t>The construction of four elevators for patients and staff is planned.</w:t>
      </w:r>
    </w:p>
    <w:p w:rsidR="004E4781" w:rsidRPr="00F32B12" w:rsidRDefault="004E4781" w:rsidP="004E4781">
      <w:pPr>
        <w:spacing w:before="200" w:line="276" w:lineRule="auto"/>
        <w:jc w:val="both"/>
        <w:rPr>
          <w:rFonts w:eastAsia="Calibri" w:cs="Arial"/>
          <w:bCs/>
        </w:rPr>
      </w:pPr>
      <w:r w:rsidRPr="00F32B12">
        <w:rPr>
          <w:rFonts w:eastAsia="Calibri" w:cs="Arial"/>
          <w:bCs/>
        </w:rPr>
        <w:t>In addition to the upgrade on the first floor where the treatment of preschool patients is planned, it is also planned to expand the existing administration on the first floor where the administration and archive of other facilities from the hospital complex would be located.</w:t>
      </w:r>
    </w:p>
    <w:p w:rsidR="004E4781" w:rsidRPr="00F32B12" w:rsidRDefault="004E4781" w:rsidP="004E4781">
      <w:pPr>
        <w:spacing w:before="200" w:line="276" w:lineRule="auto"/>
        <w:jc w:val="both"/>
        <w:rPr>
          <w:rFonts w:eastAsia="Calibri" w:cs="Arial"/>
          <w:bCs/>
        </w:rPr>
      </w:pPr>
      <w:r w:rsidRPr="00F32B12">
        <w:rPr>
          <w:rFonts w:eastAsia="Calibri" w:cs="Arial"/>
          <w:bCs/>
        </w:rPr>
        <w:t>The goal of reconstruction and adaptation of the facility is to improve the organization of services, enable the installation of modern equipment, improve hygiene and comfort for patients and increase the safety of patients and health workers in emergency situations (fire, lightning, power outages, etc.), all in accordance with applicable regulations and standards. The gross area of the ground floor of the newly designed condition after the extension is 3544.05 m2, while the total gross area of the entire building after all interventions is 6778.67 m2.</w:t>
      </w:r>
    </w:p>
    <w:p w:rsidR="004E4781" w:rsidRPr="00F32B12" w:rsidRDefault="004E4781" w:rsidP="004E4781">
      <w:pPr>
        <w:spacing w:before="200" w:line="276" w:lineRule="auto"/>
        <w:jc w:val="both"/>
        <w:rPr>
          <w:rFonts w:eastAsia="Calibri" w:cs="Arial"/>
          <w:bCs/>
        </w:rPr>
      </w:pPr>
      <w:r w:rsidRPr="00F32B12">
        <w:rPr>
          <w:rFonts w:eastAsia="Calibri" w:cs="Arial"/>
          <w:bCs/>
        </w:rPr>
        <w:t xml:space="preserve">Technical description </w:t>
      </w:r>
      <w:r w:rsidRPr="00F32B12">
        <w:rPr>
          <w:rFonts w:eastAsia="Calibri" w:cs="Arial"/>
          <w:b/>
          <w:bCs/>
        </w:rPr>
        <w:t>- Internal departments</w:t>
      </w:r>
    </w:p>
    <w:p w:rsidR="004E4781" w:rsidRPr="00F32B12" w:rsidRDefault="004E4781" w:rsidP="004E4781">
      <w:pPr>
        <w:spacing w:before="200" w:line="276" w:lineRule="auto"/>
        <w:jc w:val="both"/>
        <w:rPr>
          <w:rFonts w:eastAsia="Calibri" w:cs="Arial"/>
          <w:bCs/>
        </w:rPr>
      </w:pPr>
      <w:r w:rsidRPr="00F32B12">
        <w:rPr>
          <w:rFonts w:eastAsia="Calibri" w:cs="Arial"/>
          <w:bCs/>
        </w:rPr>
        <w:t>In addition to the internal department, there are 5 more buildings on the plot. GFA above ground newly designed condition is 17797.17. The occupancy index of the newly designed condition plot is 18.71%. The construction index of the newly designed condition is 54.16%. According to the classification, the facility belongs to hospitals and other buildings for health care. The total gross developed construction area of the newly designed building is 9120.62 m2. The total net area is 7391.36m2. The terrain on the plot is in a natural slope in the direction northeast - southwest.</w:t>
      </w:r>
    </w:p>
    <w:p w:rsidR="004E4781" w:rsidRPr="00F32B12" w:rsidRDefault="004E4781" w:rsidP="004E4781">
      <w:pPr>
        <w:spacing w:before="200" w:line="276" w:lineRule="auto"/>
        <w:jc w:val="both"/>
        <w:rPr>
          <w:rFonts w:eastAsia="Calibri" w:cs="Arial"/>
          <w:bCs/>
        </w:rPr>
      </w:pPr>
      <w:r w:rsidRPr="00F32B12">
        <w:rPr>
          <w:rFonts w:eastAsia="Calibri" w:cs="Arial"/>
          <w:bCs/>
        </w:rPr>
        <w:t>The building has floors B + G + 3. The floor height of the basement and ground floor is 345 cm, the first and second floors 405 cm, the third floor from 338 to 370 cm. Most of the rooms in the building are naturally ventilated and lit.</w:t>
      </w:r>
    </w:p>
    <w:p w:rsidR="004E4781" w:rsidRPr="00F32B12" w:rsidRDefault="004E4781" w:rsidP="004E4781">
      <w:pPr>
        <w:spacing w:before="200" w:line="276" w:lineRule="auto"/>
        <w:jc w:val="both"/>
        <w:rPr>
          <w:rFonts w:eastAsia="Calibri" w:cs="Arial"/>
          <w:bCs/>
        </w:rPr>
      </w:pPr>
      <w:r w:rsidRPr="00F32B12">
        <w:rPr>
          <w:rFonts w:eastAsia="Calibri" w:cs="Arial"/>
          <w:bCs/>
        </w:rPr>
        <w:t xml:space="preserve">According to the new organization of the space, the departments of pathology, oncology, X-ray and </w:t>
      </w:r>
      <w:proofErr w:type="spellStart"/>
      <w:r w:rsidRPr="00F32B12">
        <w:rPr>
          <w:rFonts w:eastAsia="Calibri" w:cs="Arial"/>
          <w:bCs/>
        </w:rPr>
        <w:t>angio</w:t>
      </w:r>
      <w:proofErr w:type="spellEnd"/>
      <w:r w:rsidRPr="00F32B12">
        <w:rPr>
          <w:rFonts w:eastAsia="Calibri" w:cs="Arial"/>
          <w:bCs/>
        </w:rPr>
        <w:t xml:space="preserve"> room are positioned in the basement. On the ground floor there is a specialist clinic and dialysis, on the first floor there is an internal medicine department of gastroenterology, a cardiology department and a day hospital. On the second floor there is an internal medicine </w:t>
      </w:r>
      <w:r w:rsidRPr="00F32B12">
        <w:rPr>
          <w:rFonts w:eastAsia="Calibri" w:cs="Arial"/>
          <w:bCs/>
        </w:rPr>
        <w:lastRenderedPageBreak/>
        <w:t xml:space="preserve">department of endocrinology, </w:t>
      </w:r>
      <w:proofErr w:type="spellStart"/>
      <w:r w:rsidRPr="00F32B12">
        <w:rPr>
          <w:rFonts w:eastAsia="Calibri" w:cs="Arial"/>
          <w:bCs/>
        </w:rPr>
        <w:t>haematology</w:t>
      </w:r>
      <w:proofErr w:type="spellEnd"/>
      <w:r w:rsidRPr="00F32B12">
        <w:rPr>
          <w:rFonts w:eastAsia="Calibri" w:cs="Arial"/>
          <w:bCs/>
        </w:rPr>
        <w:t xml:space="preserve"> and a day hospital. On the third floor there are technical rooms for storing machinery and other equipment as needed.</w:t>
      </w:r>
    </w:p>
    <w:p w:rsidR="004E4781" w:rsidRPr="00F32B12" w:rsidRDefault="004E4781" w:rsidP="004E4781">
      <w:pPr>
        <w:spacing w:before="200" w:line="276" w:lineRule="auto"/>
        <w:jc w:val="both"/>
        <w:rPr>
          <w:rFonts w:eastAsia="Calibri" w:cs="Arial"/>
          <w:bCs/>
        </w:rPr>
      </w:pPr>
      <w:r w:rsidRPr="00F32B12">
        <w:rPr>
          <w:rFonts w:eastAsia="Calibri" w:cs="Arial"/>
          <w:bCs/>
        </w:rPr>
        <w:t>All installations within the building are outdated. This includes the complete reconstruction of the network of water and sewage installations, electric power installations, telecommunication and signal installations, as well as mechanical ones. During the reconstruction of the network of all installations, in accordance with applicable regulations and standards, provide modern materials, equipment etc.</w:t>
      </w:r>
    </w:p>
    <w:p w:rsidR="004E4781" w:rsidRPr="00F32B12" w:rsidRDefault="004E4781" w:rsidP="004E4781">
      <w:pPr>
        <w:spacing w:before="200" w:line="276" w:lineRule="auto"/>
        <w:jc w:val="both"/>
        <w:rPr>
          <w:rFonts w:eastAsia="Calibri" w:cs="Arial"/>
          <w:bCs/>
        </w:rPr>
      </w:pPr>
      <w:r w:rsidRPr="00F32B12">
        <w:rPr>
          <w:rFonts w:eastAsia="Calibri" w:cs="Arial"/>
          <w:bCs/>
        </w:rPr>
        <w:t>The goal of reconstruction and adaptation of the facility is to improve the organization of services, enable the installation of modern equipment, improve hygiene and comfort for patients and increase the safety of patients and health workers in emergency situations (fire, lightning, power outages, etc.), all in accordance with applicable regulations and standards.</w:t>
      </w:r>
    </w:p>
    <w:p w:rsidR="004E4781" w:rsidRPr="00F32B12" w:rsidRDefault="004E4781" w:rsidP="004E4781">
      <w:pPr>
        <w:spacing w:before="200" w:line="276" w:lineRule="auto"/>
        <w:jc w:val="both"/>
        <w:rPr>
          <w:rFonts w:eastAsia="Calibri" w:cs="Arial"/>
          <w:bCs/>
        </w:rPr>
      </w:pPr>
      <w:r w:rsidRPr="00F32B12">
        <w:rPr>
          <w:rFonts w:eastAsia="Calibri" w:cs="Arial"/>
          <w:bCs/>
        </w:rPr>
        <w:t xml:space="preserve">Technical description </w:t>
      </w:r>
      <w:r w:rsidRPr="00F32B12">
        <w:rPr>
          <w:rFonts w:eastAsia="Calibri" w:cs="Arial"/>
          <w:b/>
          <w:bCs/>
        </w:rPr>
        <w:t>- Department of Surgery</w:t>
      </w:r>
    </w:p>
    <w:p w:rsidR="004E4781" w:rsidRPr="00F32B12" w:rsidRDefault="004E4781" w:rsidP="004E4781">
      <w:pPr>
        <w:spacing w:before="200" w:line="276" w:lineRule="auto"/>
        <w:jc w:val="both"/>
        <w:rPr>
          <w:rFonts w:eastAsia="Calibri" w:cs="Arial"/>
          <w:bCs/>
        </w:rPr>
      </w:pPr>
      <w:r w:rsidRPr="00F32B12">
        <w:rPr>
          <w:rFonts w:eastAsia="Calibri" w:cs="Arial"/>
          <w:bCs/>
        </w:rPr>
        <w:t>The subject of the design is the health building, the surgery department. Divided in shape with a long side, ridge in the direction southwest-northeast floors G + 5, the building with its content satisfies the needs of surgical treatment.</w:t>
      </w:r>
    </w:p>
    <w:p w:rsidR="004E4781" w:rsidRPr="00F32B12" w:rsidRDefault="004E4781" w:rsidP="004E4781">
      <w:pPr>
        <w:spacing w:before="200" w:line="276" w:lineRule="auto"/>
        <w:jc w:val="both"/>
        <w:rPr>
          <w:rFonts w:eastAsia="Calibri" w:cs="Arial"/>
          <w:bCs/>
        </w:rPr>
      </w:pPr>
      <w:r w:rsidRPr="00F32B12">
        <w:rPr>
          <w:rFonts w:eastAsia="Calibri" w:cs="Arial"/>
          <w:bCs/>
        </w:rPr>
        <w:t>SURGERY</w:t>
      </w:r>
      <w:r>
        <w:rPr>
          <w:rFonts w:eastAsia="Calibri" w:cs="Arial"/>
          <w:bCs/>
        </w:rPr>
        <w:t xml:space="preserve"> </w:t>
      </w:r>
      <w:r w:rsidRPr="00F32B12">
        <w:rPr>
          <w:rFonts w:eastAsia="Calibri" w:cs="Arial"/>
          <w:bCs/>
        </w:rPr>
        <w:t xml:space="preserve">FACILITY located on cp. no. 7216/1 with the entrance from </w:t>
      </w:r>
      <w:proofErr w:type="spellStart"/>
      <w:r w:rsidRPr="00F32B12">
        <w:rPr>
          <w:rFonts w:eastAsia="Calibri" w:cs="Arial"/>
          <w:bCs/>
        </w:rPr>
        <w:t>Generala</w:t>
      </w:r>
      <w:proofErr w:type="spellEnd"/>
      <w:r w:rsidRPr="00F32B12">
        <w:rPr>
          <w:rFonts w:eastAsia="Calibri" w:cs="Arial"/>
          <w:bCs/>
        </w:rPr>
        <w:t xml:space="preserve"> </w:t>
      </w:r>
      <w:proofErr w:type="spellStart"/>
      <w:r w:rsidRPr="00F32B12">
        <w:rPr>
          <w:rFonts w:eastAsia="Calibri" w:cs="Arial"/>
          <w:bCs/>
        </w:rPr>
        <w:t>Živkovica</w:t>
      </w:r>
      <w:proofErr w:type="spellEnd"/>
      <w:r w:rsidRPr="00F32B12">
        <w:rPr>
          <w:rFonts w:eastAsia="Calibri" w:cs="Arial"/>
          <w:bCs/>
        </w:rPr>
        <w:t xml:space="preserve"> Street on the north side of the Novi </w:t>
      </w:r>
      <w:proofErr w:type="spellStart"/>
      <w:r w:rsidRPr="00F32B12">
        <w:rPr>
          <w:rFonts w:eastAsia="Calibri" w:cs="Arial"/>
          <w:bCs/>
        </w:rPr>
        <w:t>Pazar</w:t>
      </w:r>
      <w:proofErr w:type="spellEnd"/>
      <w:r w:rsidRPr="00F32B12">
        <w:rPr>
          <w:rFonts w:eastAsia="Calibri" w:cs="Arial"/>
          <w:bCs/>
        </w:rPr>
        <w:t xml:space="preserve"> General Hospital. On the south side is the Medical School Center, and on the east and west sides are the facilities of the Novi </w:t>
      </w:r>
      <w:proofErr w:type="spellStart"/>
      <w:r w:rsidRPr="00F32B12">
        <w:rPr>
          <w:rFonts w:eastAsia="Calibri" w:cs="Arial"/>
          <w:bCs/>
        </w:rPr>
        <w:t>Pazar</w:t>
      </w:r>
      <w:proofErr w:type="spellEnd"/>
      <w:r w:rsidRPr="00F32B12">
        <w:rPr>
          <w:rFonts w:eastAsia="Calibri" w:cs="Arial"/>
          <w:bCs/>
        </w:rPr>
        <w:t xml:space="preserve"> General Hospital. The existing surgical block is being upgraded one floor and the total number of floors is G + 3. The upgraded part is G + 5.</w:t>
      </w:r>
    </w:p>
    <w:p w:rsidR="004E4781" w:rsidRPr="00F32B12" w:rsidRDefault="004E4781" w:rsidP="004E4781">
      <w:pPr>
        <w:spacing w:before="200" w:line="276" w:lineRule="auto"/>
        <w:jc w:val="both"/>
        <w:rPr>
          <w:rFonts w:eastAsia="Calibri" w:cs="Arial"/>
          <w:bCs/>
        </w:rPr>
      </w:pPr>
      <w:r w:rsidRPr="00F32B12">
        <w:rPr>
          <w:rFonts w:eastAsia="Calibri" w:cs="Arial"/>
          <w:bCs/>
        </w:rPr>
        <w:t>The facility is being reconstructed and upgraded to improve the organization of the department, enable the installation of modern equipment, improve hygiene and comfort for patients, as well as to increase the safety of patients and health workers in exceptional situations. The building is designed to meet the requirements of improving energy efficiency, with fire-resistant structural assemblies. The newly designed facility enables unimpeded movement of persons with disabilities.</w:t>
      </w:r>
    </w:p>
    <w:p w:rsidR="004E4781" w:rsidRPr="00F32B12" w:rsidRDefault="004E4781" w:rsidP="004E4781">
      <w:pPr>
        <w:spacing w:before="200" w:line="276" w:lineRule="auto"/>
        <w:jc w:val="both"/>
        <w:rPr>
          <w:rFonts w:eastAsia="Calibri" w:cs="Arial"/>
          <w:bCs/>
        </w:rPr>
      </w:pPr>
      <w:r w:rsidRPr="00F32B12">
        <w:rPr>
          <w:rFonts w:eastAsia="Calibri" w:cs="Arial"/>
          <w:bCs/>
        </w:rPr>
        <w:t>All installations within the building are outdated. This includes the complete reconstruction of the network of water and sewage installations, electric power installations, telecommunication and signal installations, as well as mechanical ones. During the reconstruction of the network of all installations, in accordance with applicable regulations and standards, provide modern materials, equipment etc.</w:t>
      </w:r>
    </w:p>
    <w:p w:rsidR="004E4781" w:rsidRPr="00F32B12" w:rsidRDefault="004E4781" w:rsidP="004E4781">
      <w:pPr>
        <w:spacing w:before="200" w:line="276" w:lineRule="auto"/>
        <w:jc w:val="both"/>
        <w:rPr>
          <w:rFonts w:eastAsia="Calibri" w:cs="Arial"/>
          <w:bCs/>
        </w:rPr>
      </w:pPr>
      <w:r w:rsidRPr="00F32B12">
        <w:rPr>
          <w:rFonts w:eastAsia="Calibri" w:cs="Arial"/>
          <w:bCs/>
        </w:rPr>
        <w:t>The goal of reconstruction and adaptation of the facility is to improve the organization of services, enable the installation of modern equipment, improve hygiene and comfort for patients and increase the safety of patients and health workers in emergency situations (fire, lightning, power outages, etc.), all in accordance with applicable regulations and standards.</w:t>
      </w:r>
    </w:p>
    <w:p w:rsidR="004E4781" w:rsidRPr="00F32B12" w:rsidRDefault="004E4781" w:rsidP="004E4781">
      <w:pPr>
        <w:spacing w:before="200" w:line="276" w:lineRule="auto"/>
        <w:jc w:val="both"/>
        <w:rPr>
          <w:rFonts w:eastAsia="Calibri" w:cs="Arial"/>
          <w:bCs/>
        </w:rPr>
      </w:pPr>
      <w:r w:rsidRPr="00F32B12">
        <w:rPr>
          <w:rFonts w:eastAsia="Calibri" w:cs="Arial"/>
          <w:bCs/>
        </w:rPr>
        <w:lastRenderedPageBreak/>
        <w:t xml:space="preserve">Technical description </w:t>
      </w:r>
      <w:r w:rsidRPr="008B3CA2">
        <w:rPr>
          <w:rFonts w:eastAsia="Calibri" w:cs="Arial"/>
          <w:b/>
          <w:bCs/>
        </w:rPr>
        <w:t xml:space="preserve">- </w:t>
      </w:r>
      <w:r>
        <w:rPr>
          <w:rFonts w:eastAsia="Calibri" w:cs="Arial"/>
          <w:b/>
          <w:bCs/>
        </w:rPr>
        <w:t>W</w:t>
      </w:r>
      <w:r w:rsidRPr="008B3CA2">
        <w:rPr>
          <w:rFonts w:eastAsia="Calibri" w:cs="Arial"/>
          <w:b/>
          <w:bCs/>
        </w:rPr>
        <w:t>ood biomass boiler room</w:t>
      </w:r>
    </w:p>
    <w:p w:rsidR="004E4781" w:rsidRPr="00F32B12" w:rsidRDefault="004E4781" w:rsidP="004E4781">
      <w:pPr>
        <w:spacing w:before="200" w:line="276" w:lineRule="auto"/>
        <w:jc w:val="both"/>
        <w:rPr>
          <w:rFonts w:eastAsia="Calibri" w:cs="Arial"/>
          <w:bCs/>
        </w:rPr>
      </w:pPr>
      <w:r w:rsidRPr="00F32B12">
        <w:rPr>
          <w:rFonts w:eastAsia="Calibri" w:cs="Arial"/>
          <w:bCs/>
        </w:rPr>
        <w:t xml:space="preserve">The aim of this project is to develop a technical and technological solution for a biomass boiler room (wood chips) and light fuel oil for heat production that would be used to meet the needs for heat needed during the heating season of existing and newly planned facilities within the General Hospital in Municipality Novi </w:t>
      </w:r>
      <w:proofErr w:type="spellStart"/>
      <w:r w:rsidRPr="00F32B12">
        <w:rPr>
          <w:rFonts w:eastAsia="Calibri" w:cs="Arial"/>
          <w:bCs/>
        </w:rPr>
        <w:t>Pazar</w:t>
      </w:r>
      <w:proofErr w:type="spellEnd"/>
      <w:r w:rsidRPr="00F32B12">
        <w:rPr>
          <w:rFonts w:eastAsia="Calibri" w:cs="Arial"/>
          <w:bCs/>
        </w:rPr>
        <w:t xml:space="preserve">. The connection of the facilities to the planned heating plant would be done in the second phase. The construction and commissioning of the biomass boiler room would replace the use of fuel oil in the boiler room. In the second phase, it is necessary to envisage the installation of a steam boiler on natural gas, remove the existing above-ground fuel oil tanks, switch the boiler to light fuel oil on natural gas (which is why a combined burner is envisaged in phase I). The newly designed boiler room for biomass and light heating oil is situationally planned to be located on the cadastral parcel 7216/4 in Novi </w:t>
      </w:r>
      <w:proofErr w:type="spellStart"/>
      <w:r w:rsidRPr="00F32B12">
        <w:rPr>
          <w:rFonts w:eastAsia="Calibri" w:cs="Arial"/>
          <w:bCs/>
        </w:rPr>
        <w:t>Pazar</w:t>
      </w:r>
      <w:proofErr w:type="spellEnd"/>
      <w:r w:rsidRPr="00F32B12">
        <w:rPr>
          <w:rFonts w:eastAsia="Calibri" w:cs="Arial"/>
          <w:bCs/>
        </w:rPr>
        <w:t>.</w:t>
      </w:r>
    </w:p>
    <w:p w:rsidR="004E4781" w:rsidRPr="00F32B12" w:rsidRDefault="004E4781" w:rsidP="004E4781">
      <w:pPr>
        <w:spacing w:before="200" w:line="276" w:lineRule="auto"/>
        <w:jc w:val="both"/>
        <w:rPr>
          <w:rFonts w:eastAsia="Calibri" w:cs="Arial"/>
          <w:bCs/>
        </w:rPr>
      </w:pPr>
      <w:r w:rsidRPr="00F32B12">
        <w:rPr>
          <w:rFonts w:eastAsia="Calibri" w:cs="Arial"/>
          <w:bCs/>
        </w:rPr>
        <w:t xml:space="preserve">Technical description </w:t>
      </w:r>
      <w:r w:rsidRPr="008B3CA2">
        <w:rPr>
          <w:rFonts w:eastAsia="Calibri" w:cs="Arial"/>
          <w:b/>
          <w:bCs/>
        </w:rPr>
        <w:t xml:space="preserve">- </w:t>
      </w:r>
      <w:r>
        <w:rPr>
          <w:rFonts w:eastAsia="Calibri" w:cs="Arial"/>
          <w:b/>
          <w:bCs/>
        </w:rPr>
        <w:t>Substation</w:t>
      </w:r>
    </w:p>
    <w:p w:rsidR="004E4781" w:rsidRPr="00F32B12" w:rsidRDefault="004E4781" w:rsidP="004E4781">
      <w:pPr>
        <w:spacing w:before="200" w:line="276" w:lineRule="auto"/>
        <w:jc w:val="both"/>
        <w:rPr>
          <w:rFonts w:eastAsia="Calibri" w:cs="Arial"/>
          <w:bCs/>
        </w:rPr>
      </w:pPr>
      <w:r w:rsidRPr="00F32B12">
        <w:rPr>
          <w:rFonts w:eastAsia="Calibri" w:cs="Arial"/>
          <w:bCs/>
        </w:rPr>
        <w:t xml:space="preserve">TC 35/10 kV "Hospital-Novi </w:t>
      </w:r>
      <w:proofErr w:type="spellStart"/>
      <w:r w:rsidRPr="00F32B12">
        <w:rPr>
          <w:rFonts w:eastAsia="Calibri" w:cs="Arial"/>
          <w:bCs/>
        </w:rPr>
        <w:t>Pazar</w:t>
      </w:r>
      <w:proofErr w:type="spellEnd"/>
      <w:r w:rsidRPr="00F32B12">
        <w:rPr>
          <w:rFonts w:eastAsia="Calibri" w:cs="Arial"/>
          <w:bCs/>
        </w:rPr>
        <w:t>" with an installed capacity of 2 × 8 MVA is planned. The location is at an altitude of less than 1000m.</w:t>
      </w:r>
    </w:p>
    <w:p w:rsidR="004E4781" w:rsidRPr="00F32B12" w:rsidRDefault="004E4781" w:rsidP="004E4781">
      <w:pPr>
        <w:spacing w:before="200" w:line="276" w:lineRule="auto"/>
        <w:jc w:val="both"/>
        <w:rPr>
          <w:rFonts w:eastAsia="Calibri" w:cs="Arial"/>
          <w:bCs/>
        </w:rPr>
      </w:pPr>
      <w:r w:rsidRPr="00F32B12">
        <w:rPr>
          <w:rFonts w:eastAsia="Calibri" w:cs="Arial"/>
          <w:bCs/>
        </w:rPr>
        <w:t>Two power transformers of 8 MVA each are planned, on appropriate foundations with bathtubs and oil sewerage, located in the open, separated from each other by a fire wall. Design foundations, bathtubs and oil sewers for the maximum possible power per transformer unit of 12.5 MVA each.</w:t>
      </w:r>
    </w:p>
    <w:p w:rsidR="004E4781" w:rsidRPr="00F32B12" w:rsidRDefault="004E4781" w:rsidP="004E4781">
      <w:pPr>
        <w:spacing w:before="200" w:line="276" w:lineRule="auto"/>
        <w:jc w:val="both"/>
        <w:rPr>
          <w:rFonts w:eastAsia="Calibri" w:cs="Arial"/>
          <w:bCs/>
        </w:rPr>
      </w:pPr>
      <w:r w:rsidRPr="00F32B12">
        <w:rPr>
          <w:rFonts w:eastAsia="Calibri" w:cs="Arial"/>
          <w:bCs/>
        </w:rPr>
        <w:t>The plant building will house a 35kV switchyard, a 10kV switchyard, own consumption, protection and management, and an accompanying telecommunication set.</w:t>
      </w:r>
    </w:p>
    <w:p w:rsidR="004E4781" w:rsidRPr="00F32B12" w:rsidRDefault="004E4781" w:rsidP="004E4781">
      <w:pPr>
        <w:spacing w:before="200" w:line="276" w:lineRule="auto"/>
        <w:jc w:val="both"/>
        <w:rPr>
          <w:rFonts w:eastAsia="Calibri" w:cs="Arial"/>
          <w:bCs/>
        </w:rPr>
      </w:pPr>
      <w:r w:rsidRPr="00F32B12">
        <w:rPr>
          <w:rFonts w:eastAsia="Calibri" w:cs="Arial"/>
          <w:bCs/>
        </w:rPr>
        <w:t>The building is planned as a ground floor, with appropriate cable channels - the space under the 35 kV and 10 kV plants.</w:t>
      </w:r>
    </w:p>
    <w:p w:rsidR="004E4781" w:rsidRPr="00F32B12" w:rsidRDefault="004E4781" w:rsidP="004E4781">
      <w:pPr>
        <w:spacing w:before="200" w:line="276" w:lineRule="auto"/>
        <w:jc w:val="both"/>
        <w:rPr>
          <w:rFonts w:eastAsia="Calibri" w:cs="Arial"/>
          <w:bCs/>
        </w:rPr>
      </w:pPr>
      <w:r w:rsidRPr="00F32B12">
        <w:rPr>
          <w:rFonts w:eastAsia="Calibri" w:cs="Arial"/>
          <w:bCs/>
        </w:rPr>
        <w:t>The circle of the transformer station is adequately fenced, with appropriate leveling and landscaping, with realized roads and paths, landscaped green areas and landscaping.</w:t>
      </w:r>
    </w:p>
    <w:p w:rsidR="004E4781" w:rsidRPr="00214688" w:rsidRDefault="004E4781" w:rsidP="004E4781">
      <w:pPr>
        <w:ind w:firstLine="708"/>
        <w:jc w:val="both"/>
        <w:rPr>
          <w:i/>
          <w:color w:val="000000"/>
          <w:szCs w:val="24"/>
        </w:rPr>
      </w:pPr>
      <w:r w:rsidRPr="00F32B12">
        <w:rPr>
          <w:rFonts w:eastAsia="Calibri" w:cs="Arial"/>
          <w:bCs/>
        </w:rPr>
        <w:t>It is equipped with the necessary earthing and lightning protection installations and lighting.</w:t>
      </w:r>
    </w:p>
    <w:p w:rsidR="00945024" w:rsidRPr="00214688" w:rsidRDefault="00945024" w:rsidP="00945024">
      <w:pPr>
        <w:ind w:firstLine="708"/>
        <w:jc w:val="both"/>
        <w:rPr>
          <w:iCs/>
          <w:szCs w:val="24"/>
        </w:rPr>
      </w:pPr>
      <w:r w:rsidRPr="00214688">
        <w:rPr>
          <w:szCs w:val="24"/>
        </w:rPr>
        <w:t>In terms of the Law on Waste Management (Official Gazette of RS, Nos. 36/09, 88/10 and 14/16), the Law on the Transport of Dangerous Goods (Official Gazette of RS, no. 104/16) and the Rulebook on the method of storage, packaging and labeling of hazardous waste (Official Gazette of RS, No. 92/10), the companies authorized by the Environmental Protection Agency of the Ministry of Agriculture and Environment shall be liable for the construction material considered as hazardous waste, i.e. for its transport, storage, treatment and disposal. In case that the selected bidder or the Contractor has not set up the procedures according to current standards it may engage an expert for the execution of the respective</w:t>
      </w:r>
      <w:r>
        <w:rPr>
          <w:szCs w:val="24"/>
        </w:rPr>
        <w:t xml:space="preserve"> </w:t>
      </w:r>
      <w:r w:rsidRPr="00214688">
        <w:rPr>
          <w:szCs w:val="24"/>
        </w:rPr>
        <w:t>item of works for the part of the works for which a license is required</w:t>
      </w:r>
      <w:r w:rsidRPr="00214688">
        <w:rPr>
          <w:iCs/>
          <w:szCs w:val="24"/>
        </w:rPr>
        <w:t>.</w:t>
      </w:r>
    </w:p>
    <w:p w:rsidR="00945024" w:rsidRPr="00214688" w:rsidRDefault="00945024" w:rsidP="00945024">
      <w:pPr>
        <w:ind w:firstLine="708"/>
        <w:jc w:val="both"/>
        <w:rPr>
          <w:iCs/>
          <w:szCs w:val="24"/>
        </w:rPr>
      </w:pPr>
      <w:r w:rsidRPr="00214688">
        <w:rPr>
          <w:szCs w:val="24"/>
        </w:rPr>
        <w:t>When it comes to non-hazardous waste, in accordance with Article 70, paragraph 1, item 1) of the Law on Waste Management (Official Gazette of RS, Nos. 36/09, 88/10 and 14/16), license for waste transport is not required if the</w:t>
      </w:r>
      <w:r>
        <w:rPr>
          <w:szCs w:val="24"/>
        </w:rPr>
        <w:t xml:space="preserve"> </w:t>
      </w:r>
      <w:r w:rsidRPr="00214688">
        <w:rPr>
          <w:szCs w:val="24"/>
        </w:rPr>
        <w:t xml:space="preserve">waste manufacturer itself transports the waste to </w:t>
      </w:r>
      <w:r w:rsidRPr="00214688">
        <w:rPr>
          <w:szCs w:val="24"/>
        </w:rPr>
        <w:lastRenderedPageBreak/>
        <w:t>a licensed waste management facility using its transport vehicles, and the quantities of waste do not exceed 1000 kilograms per shipment, excluding hazardous waste.</w:t>
      </w:r>
      <w:r>
        <w:rPr>
          <w:szCs w:val="24"/>
        </w:rPr>
        <w:t xml:space="preserve"> </w:t>
      </w:r>
      <w:r w:rsidRPr="00214688">
        <w:rPr>
          <w:szCs w:val="24"/>
        </w:rPr>
        <w:t>Otherwise, it is necessary to engage an expert (Operator) to execute the respective</w:t>
      </w:r>
      <w:r>
        <w:rPr>
          <w:szCs w:val="24"/>
        </w:rPr>
        <w:t xml:space="preserve"> </w:t>
      </w:r>
      <w:r w:rsidRPr="00214688">
        <w:rPr>
          <w:szCs w:val="24"/>
        </w:rPr>
        <w:t>item of the works</w:t>
      </w:r>
      <w:r w:rsidRPr="00214688">
        <w:rPr>
          <w:iCs/>
          <w:szCs w:val="24"/>
        </w:rPr>
        <w:t>.</w:t>
      </w:r>
    </w:p>
    <w:p w:rsidR="00B2008F" w:rsidRDefault="00B2008F" w:rsidP="00945024">
      <w:pPr>
        <w:ind w:firstLine="720"/>
        <w:jc w:val="both"/>
        <w:rPr>
          <w:szCs w:val="24"/>
        </w:rPr>
      </w:pPr>
    </w:p>
    <w:p w:rsidR="00945024" w:rsidRPr="00214688" w:rsidRDefault="00945024" w:rsidP="00945024">
      <w:pPr>
        <w:ind w:firstLine="720"/>
        <w:jc w:val="both"/>
        <w:rPr>
          <w:szCs w:val="24"/>
          <w:lang w:eastAsia="de-DE"/>
        </w:rPr>
      </w:pPr>
      <w:r w:rsidRPr="00214688">
        <w:rPr>
          <w:szCs w:val="24"/>
        </w:rPr>
        <w:t>The preparation of the design and technical documentation and the execution of the works described in the technical requirements of this tender documentation must be carried out in accordance with national and international valid legal regulations, including, but not limited to</w:t>
      </w:r>
      <w:r w:rsidRPr="00214688">
        <w:rPr>
          <w:szCs w:val="24"/>
          <w:lang w:eastAsia="de-DE"/>
        </w:rPr>
        <w:t>:</w:t>
      </w:r>
    </w:p>
    <w:p w:rsidR="00945024" w:rsidRPr="00F52E21" w:rsidRDefault="00945024" w:rsidP="00945024">
      <w:pPr>
        <w:pStyle w:val="ListParagraph"/>
        <w:numPr>
          <w:ilvl w:val="0"/>
          <w:numId w:val="1"/>
        </w:numPr>
        <w:spacing w:after="0" w:line="240" w:lineRule="auto"/>
        <w:ind w:left="993" w:hanging="284"/>
        <w:jc w:val="both"/>
        <w:rPr>
          <w:rFonts w:ascii="Times New Roman" w:eastAsia="Times New Roman" w:hAnsi="Times New Roman"/>
          <w:sz w:val="24"/>
          <w:szCs w:val="24"/>
          <w:lang w:eastAsia="de-DE"/>
        </w:rPr>
      </w:pPr>
      <w:r w:rsidRPr="00F52E21">
        <w:rPr>
          <w:rFonts w:ascii="Times New Roman" w:hAnsi="Times New Roman"/>
          <w:sz w:val="24"/>
          <w:szCs w:val="24"/>
        </w:rPr>
        <w:t>Law on Planning and Construction (Official Gazette of RS, Nos. 72/09, 81/09/09 correction, 64/10 CC decisions, 24/11 and 121/12, 42/13 CC decision, 50 / 2013 – CC decision, 98/2013 – CC decision, 132/14, 145/14</w:t>
      </w:r>
      <w:r w:rsidR="00B2008F" w:rsidRPr="00F52E21">
        <w:rPr>
          <w:rFonts w:ascii="Times New Roman" w:hAnsi="Times New Roman"/>
          <w:sz w:val="24"/>
          <w:szCs w:val="24"/>
        </w:rPr>
        <w:t xml:space="preserve">, </w:t>
      </w:r>
      <w:r w:rsidRPr="00F52E21">
        <w:rPr>
          <w:rFonts w:ascii="Times New Roman" w:hAnsi="Times New Roman"/>
          <w:sz w:val="24"/>
          <w:szCs w:val="24"/>
        </w:rPr>
        <w:t>83/18</w:t>
      </w:r>
      <w:r w:rsidR="00B2008F" w:rsidRPr="00F52E21">
        <w:rPr>
          <w:rFonts w:ascii="Times New Roman" w:hAnsi="Times New Roman"/>
          <w:sz w:val="24"/>
          <w:szCs w:val="24"/>
        </w:rPr>
        <w:t>, 31/19, 37/19- other law</w:t>
      </w:r>
      <w:r w:rsidR="00797540">
        <w:rPr>
          <w:rFonts w:ascii="Times New Roman" w:hAnsi="Times New Roman"/>
          <w:sz w:val="24"/>
          <w:szCs w:val="24"/>
          <w:lang w:val="sr-Cyrl-CS"/>
        </w:rPr>
        <w:t xml:space="preserve">, </w:t>
      </w:r>
      <w:r w:rsidR="00B2008F" w:rsidRPr="00F52E21">
        <w:rPr>
          <w:rFonts w:ascii="Times New Roman" w:hAnsi="Times New Roman"/>
          <w:sz w:val="24"/>
          <w:szCs w:val="24"/>
        </w:rPr>
        <w:t xml:space="preserve"> 9/20</w:t>
      </w:r>
      <w:r w:rsidR="00797540">
        <w:rPr>
          <w:rFonts w:ascii="Times New Roman" w:hAnsi="Times New Roman"/>
          <w:sz w:val="24"/>
          <w:szCs w:val="24"/>
          <w:lang w:val="sr-Cyrl-CS"/>
        </w:rPr>
        <w:t xml:space="preserve"> анд 52/21</w:t>
      </w:r>
      <w:bookmarkStart w:id="0" w:name="_GoBack"/>
      <w:bookmarkEnd w:id="0"/>
      <w:r w:rsidRPr="00F52E21">
        <w:rPr>
          <w:rFonts w:ascii="Times New Roman" w:eastAsia="Times New Roman" w:hAnsi="Times New Roman"/>
          <w:sz w:val="24"/>
          <w:szCs w:val="24"/>
          <w:lang w:eastAsia="de-DE"/>
        </w:rPr>
        <w:t>);</w:t>
      </w:r>
    </w:p>
    <w:p w:rsidR="00945024" w:rsidRPr="00F52E21" w:rsidRDefault="00945024" w:rsidP="00945024">
      <w:pPr>
        <w:pStyle w:val="ListParagraph"/>
        <w:numPr>
          <w:ilvl w:val="0"/>
          <w:numId w:val="1"/>
        </w:numPr>
        <w:spacing w:after="0" w:line="240" w:lineRule="auto"/>
        <w:ind w:left="993" w:hanging="284"/>
        <w:jc w:val="both"/>
        <w:rPr>
          <w:rFonts w:ascii="Times New Roman" w:eastAsia="Times New Roman" w:hAnsi="Times New Roman"/>
          <w:sz w:val="24"/>
          <w:szCs w:val="24"/>
          <w:lang w:eastAsia="de-DE"/>
        </w:rPr>
      </w:pPr>
      <w:r w:rsidRPr="00F52E21">
        <w:rPr>
          <w:rFonts w:ascii="Times New Roman" w:hAnsi="Times New Roman"/>
          <w:sz w:val="24"/>
          <w:szCs w:val="24"/>
        </w:rPr>
        <w:t>Law on Environmental Impact Assessment (Official Gazette of RS, Nos. 135/04</w:t>
      </w:r>
      <w:r w:rsidR="00B2008F" w:rsidRPr="00F52E21">
        <w:rPr>
          <w:rFonts w:ascii="Times New Roman" w:hAnsi="Times New Roman"/>
          <w:sz w:val="24"/>
          <w:szCs w:val="24"/>
        </w:rPr>
        <w:t xml:space="preserve"> and </w:t>
      </w:r>
      <w:r w:rsidRPr="00F52E21">
        <w:rPr>
          <w:rFonts w:ascii="Times New Roman" w:hAnsi="Times New Roman"/>
          <w:sz w:val="24"/>
          <w:szCs w:val="24"/>
        </w:rPr>
        <w:t>36/09</w:t>
      </w:r>
      <w:r w:rsidRPr="00F52E21">
        <w:rPr>
          <w:rFonts w:ascii="Times New Roman" w:eastAsia="Times New Roman" w:hAnsi="Times New Roman"/>
          <w:sz w:val="24"/>
          <w:szCs w:val="24"/>
          <w:lang w:eastAsia="de-DE"/>
        </w:rPr>
        <w:t>);</w:t>
      </w:r>
    </w:p>
    <w:p w:rsidR="00945024" w:rsidRPr="00F52E21" w:rsidRDefault="00B44549" w:rsidP="00945024">
      <w:pPr>
        <w:pStyle w:val="ListParagraph"/>
        <w:numPr>
          <w:ilvl w:val="0"/>
          <w:numId w:val="1"/>
        </w:numPr>
        <w:spacing w:after="0" w:line="240" w:lineRule="auto"/>
        <w:ind w:left="993" w:hanging="284"/>
        <w:jc w:val="both"/>
        <w:rPr>
          <w:rFonts w:ascii="Times New Roman" w:eastAsia="Times New Roman" w:hAnsi="Times New Roman"/>
          <w:sz w:val="24"/>
          <w:szCs w:val="24"/>
          <w:lang w:eastAsia="de-DE"/>
        </w:rPr>
      </w:pPr>
      <w:hyperlink r:id="rId5" w:tooltip="Download Закон о управљању отпадом  (&quot;Сл.гласник РС&quot;, бр. 36/2009, 88/2010 и 14/2016), " w:history="1">
        <w:r w:rsidR="00945024" w:rsidRPr="00F52E21">
          <w:rPr>
            <w:rFonts w:ascii="Times New Roman" w:hAnsi="Times New Roman"/>
            <w:sz w:val="24"/>
            <w:szCs w:val="24"/>
          </w:rPr>
          <w:t>Law on Waste Management (Official Gazette of RS, Nos. 36/09, 88/10</w:t>
        </w:r>
        <w:r w:rsidR="00B2008F" w:rsidRPr="00F52E21">
          <w:rPr>
            <w:rFonts w:ascii="Times New Roman" w:hAnsi="Times New Roman"/>
            <w:sz w:val="24"/>
            <w:szCs w:val="24"/>
          </w:rPr>
          <w:t xml:space="preserve">, </w:t>
        </w:r>
        <w:r w:rsidR="00945024" w:rsidRPr="00F52E21">
          <w:rPr>
            <w:rFonts w:ascii="Times New Roman" w:hAnsi="Times New Roman"/>
            <w:sz w:val="24"/>
            <w:szCs w:val="24"/>
          </w:rPr>
          <w:t>14/16</w:t>
        </w:r>
        <w:r w:rsidR="00B2008F" w:rsidRPr="00F52E21">
          <w:rPr>
            <w:rFonts w:ascii="Times New Roman" w:hAnsi="Times New Roman"/>
            <w:sz w:val="24"/>
            <w:szCs w:val="24"/>
          </w:rPr>
          <w:t xml:space="preserve"> and 95/18 – other law</w:t>
        </w:r>
        <w:r w:rsidR="00945024" w:rsidRPr="00F52E21">
          <w:rPr>
            <w:rFonts w:ascii="Times New Roman" w:eastAsia="Times New Roman" w:hAnsi="Times New Roman"/>
            <w:sz w:val="24"/>
            <w:szCs w:val="24"/>
            <w:lang w:eastAsia="de-DE"/>
          </w:rPr>
          <w:t>)</w:t>
        </w:r>
      </w:hyperlink>
    </w:p>
    <w:p w:rsidR="00945024" w:rsidRPr="00F52E21" w:rsidRDefault="00945024" w:rsidP="00945024">
      <w:pPr>
        <w:pStyle w:val="ListParagraph"/>
        <w:numPr>
          <w:ilvl w:val="0"/>
          <w:numId w:val="1"/>
        </w:numPr>
        <w:spacing w:after="0" w:line="240" w:lineRule="auto"/>
        <w:ind w:left="993" w:hanging="284"/>
        <w:jc w:val="both"/>
        <w:rPr>
          <w:rFonts w:ascii="Times New Roman" w:eastAsia="Times New Roman" w:hAnsi="Times New Roman"/>
          <w:sz w:val="24"/>
          <w:szCs w:val="24"/>
          <w:lang w:eastAsia="de-DE"/>
        </w:rPr>
      </w:pPr>
      <w:r w:rsidRPr="00F52E21">
        <w:rPr>
          <w:rFonts w:ascii="Times New Roman" w:hAnsi="Times New Roman"/>
          <w:sz w:val="24"/>
          <w:szCs w:val="24"/>
        </w:rPr>
        <w:t>Law on Environmental Protection (Official Gazette of RS, Nos. 135/04, 36/09, 36/09 - other law, 72/09 - other law, 43/11 - CC, 14/16, 76/18</w:t>
      </w:r>
      <w:r w:rsidR="00B2008F" w:rsidRPr="00F52E21">
        <w:rPr>
          <w:rFonts w:ascii="Times New Roman" w:hAnsi="Times New Roman"/>
          <w:sz w:val="24"/>
          <w:szCs w:val="24"/>
        </w:rPr>
        <w:t xml:space="preserve"> and 95/18</w:t>
      </w:r>
      <w:r w:rsidRPr="00F52E21">
        <w:rPr>
          <w:rFonts w:ascii="Times New Roman" w:eastAsia="Times New Roman" w:hAnsi="Times New Roman"/>
          <w:sz w:val="24"/>
          <w:szCs w:val="24"/>
          <w:lang w:eastAsia="de-DE"/>
        </w:rPr>
        <w:t>);</w:t>
      </w:r>
    </w:p>
    <w:p w:rsidR="00945024" w:rsidRPr="00F52E21" w:rsidRDefault="00945024" w:rsidP="00945024">
      <w:pPr>
        <w:pStyle w:val="ListParagraph"/>
        <w:numPr>
          <w:ilvl w:val="0"/>
          <w:numId w:val="1"/>
        </w:numPr>
        <w:spacing w:after="0" w:line="240" w:lineRule="auto"/>
        <w:ind w:left="993" w:hanging="284"/>
        <w:jc w:val="both"/>
        <w:rPr>
          <w:rFonts w:ascii="Times New Roman" w:eastAsia="Times New Roman" w:hAnsi="Times New Roman"/>
          <w:sz w:val="24"/>
          <w:szCs w:val="24"/>
          <w:lang w:eastAsia="de-DE"/>
        </w:rPr>
      </w:pPr>
      <w:r w:rsidRPr="00F52E21">
        <w:rPr>
          <w:rFonts w:ascii="Times New Roman" w:hAnsi="Times New Roman"/>
          <w:sz w:val="24"/>
          <w:szCs w:val="24"/>
        </w:rPr>
        <w:t>Law on Integrated Prevention and Control of Environmental Pollution (Official Gazette of RS, Nos.</w:t>
      </w:r>
      <w:r w:rsidRPr="00F52E21">
        <w:rPr>
          <w:rFonts w:ascii="Times New Roman" w:eastAsia="Times New Roman" w:hAnsi="Times New Roman"/>
          <w:sz w:val="24"/>
          <w:szCs w:val="24"/>
          <w:lang w:eastAsia="de-DE"/>
        </w:rPr>
        <w:t xml:space="preserve"> 35/04 and 25/15);</w:t>
      </w:r>
    </w:p>
    <w:p w:rsidR="00945024" w:rsidRPr="00F52E21" w:rsidRDefault="00945024" w:rsidP="00945024">
      <w:pPr>
        <w:pStyle w:val="ListParagraph"/>
        <w:numPr>
          <w:ilvl w:val="0"/>
          <w:numId w:val="1"/>
        </w:numPr>
        <w:spacing w:after="0" w:line="240" w:lineRule="auto"/>
        <w:ind w:left="993" w:hanging="284"/>
        <w:jc w:val="both"/>
        <w:rPr>
          <w:rFonts w:ascii="Times New Roman" w:eastAsia="Times New Roman" w:hAnsi="Times New Roman"/>
          <w:sz w:val="24"/>
          <w:szCs w:val="24"/>
          <w:lang w:eastAsia="de-DE"/>
        </w:rPr>
      </w:pPr>
      <w:r w:rsidRPr="00F52E21">
        <w:rPr>
          <w:rFonts w:ascii="Times New Roman" w:hAnsi="Times New Roman"/>
          <w:sz w:val="24"/>
          <w:szCs w:val="24"/>
        </w:rPr>
        <w:t xml:space="preserve">Law on Air Protection (Official Gazette of RS, Nos. 36/09 and </w:t>
      </w:r>
      <w:r w:rsidRPr="00F52E21">
        <w:rPr>
          <w:rFonts w:ascii="Times New Roman" w:eastAsia="Times New Roman" w:hAnsi="Times New Roman"/>
          <w:sz w:val="24"/>
          <w:szCs w:val="24"/>
          <w:lang w:eastAsia="de-DE"/>
        </w:rPr>
        <w:t>10/13);</w:t>
      </w:r>
    </w:p>
    <w:p w:rsidR="00945024" w:rsidRPr="00F52E21" w:rsidRDefault="00945024" w:rsidP="00945024">
      <w:pPr>
        <w:pStyle w:val="ListParagraph"/>
        <w:numPr>
          <w:ilvl w:val="0"/>
          <w:numId w:val="1"/>
        </w:numPr>
        <w:spacing w:after="0" w:line="240" w:lineRule="auto"/>
        <w:ind w:left="993" w:hanging="284"/>
        <w:jc w:val="both"/>
        <w:rPr>
          <w:rFonts w:ascii="Times New Roman" w:eastAsia="Times New Roman" w:hAnsi="Times New Roman"/>
          <w:sz w:val="24"/>
          <w:szCs w:val="24"/>
          <w:lang w:eastAsia="de-DE"/>
        </w:rPr>
      </w:pPr>
      <w:r w:rsidRPr="00F52E21">
        <w:rPr>
          <w:rFonts w:ascii="Times New Roman" w:hAnsi="Times New Roman"/>
          <w:sz w:val="24"/>
          <w:szCs w:val="24"/>
        </w:rPr>
        <w:t>Law on Waters (Official Gazette of RS, Nos. 30/10, 93/12</w:t>
      </w:r>
      <w:r w:rsidR="00B2008F" w:rsidRPr="00F52E21">
        <w:rPr>
          <w:rFonts w:ascii="Times New Roman" w:hAnsi="Times New Roman"/>
          <w:sz w:val="24"/>
          <w:szCs w:val="24"/>
        </w:rPr>
        <w:t xml:space="preserve">, </w:t>
      </w:r>
      <w:r w:rsidRPr="00F52E21">
        <w:rPr>
          <w:rFonts w:ascii="Times New Roman" w:eastAsia="Times New Roman" w:hAnsi="Times New Roman"/>
          <w:sz w:val="24"/>
          <w:szCs w:val="24"/>
          <w:lang w:eastAsia="de-DE"/>
        </w:rPr>
        <w:t>101/16</w:t>
      </w:r>
      <w:r w:rsidR="00B2008F" w:rsidRPr="00F52E21">
        <w:rPr>
          <w:rFonts w:ascii="Times New Roman" w:eastAsia="Times New Roman" w:hAnsi="Times New Roman"/>
          <w:sz w:val="24"/>
          <w:szCs w:val="24"/>
          <w:lang w:eastAsia="de-DE"/>
        </w:rPr>
        <w:t>, 95/18 and 95/18- other law</w:t>
      </w:r>
      <w:r w:rsidRPr="00F52E21">
        <w:rPr>
          <w:rFonts w:ascii="Times New Roman" w:eastAsia="Times New Roman" w:hAnsi="Times New Roman"/>
          <w:sz w:val="24"/>
          <w:szCs w:val="24"/>
          <w:lang w:eastAsia="de-DE"/>
        </w:rPr>
        <w:t>);</w:t>
      </w:r>
    </w:p>
    <w:p w:rsidR="00945024" w:rsidRPr="00F52E21" w:rsidRDefault="00945024" w:rsidP="00945024">
      <w:pPr>
        <w:pStyle w:val="ListParagraph"/>
        <w:numPr>
          <w:ilvl w:val="0"/>
          <w:numId w:val="1"/>
        </w:numPr>
        <w:spacing w:after="0" w:line="240" w:lineRule="auto"/>
        <w:ind w:left="993" w:hanging="284"/>
        <w:jc w:val="both"/>
        <w:rPr>
          <w:rFonts w:ascii="Times New Roman" w:eastAsia="Times New Roman" w:hAnsi="Times New Roman"/>
          <w:sz w:val="24"/>
          <w:szCs w:val="24"/>
          <w:lang w:eastAsia="de-DE"/>
        </w:rPr>
      </w:pPr>
      <w:r w:rsidRPr="00F52E21">
        <w:rPr>
          <w:rFonts w:ascii="Times New Roman" w:hAnsi="Times New Roman"/>
          <w:sz w:val="24"/>
          <w:szCs w:val="24"/>
        </w:rPr>
        <w:t>Law on Protection against Environmental Noise (Official Gazette of RS, Nos</w:t>
      </w:r>
      <w:r w:rsidRPr="00F52E21">
        <w:rPr>
          <w:rFonts w:ascii="Times New Roman" w:eastAsia="Times New Roman" w:hAnsi="Times New Roman"/>
          <w:sz w:val="24"/>
          <w:szCs w:val="24"/>
          <w:lang w:eastAsia="de-DE"/>
        </w:rPr>
        <w:t xml:space="preserve"> 36/09 and 88/10);</w:t>
      </w:r>
    </w:p>
    <w:p w:rsidR="00945024" w:rsidRPr="00214688" w:rsidRDefault="00945024" w:rsidP="00945024">
      <w:pPr>
        <w:pStyle w:val="ListParagraph"/>
        <w:numPr>
          <w:ilvl w:val="0"/>
          <w:numId w:val="1"/>
        </w:numPr>
        <w:spacing w:after="0" w:line="240" w:lineRule="auto"/>
        <w:ind w:left="993" w:hanging="284"/>
        <w:jc w:val="both"/>
        <w:rPr>
          <w:rFonts w:ascii="Times New Roman" w:eastAsia="Times New Roman" w:hAnsi="Times New Roman"/>
          <w:sz w:val="24"/>
          <w:szCs w:val="24"/>
          <w:lang w:eastAsia="de-DE"/>
        </w:rPr>
      </w:pPr>
      <w:r w:rsidRPr="00F52E21">
        <w:rPr>
          <w:rFonts w:ascii="Times New Roman" w:hAnsi="Times New Roman"/>
          <w:sz w:val="24"/>
          <w:szCs w:val="24"/>
        </w:rPr>
        <w:t>Law on Non-Ioni</w:t>
      </w:r>
      <w:r w:rsidRPr="00214688">
        <w:rPr>
          <w:rFonts w:ascii="Times New Roman" w:hAnsi="Times New Roman"/>
          <w:sz w:val="24"/>
          <w:szCs w:val="24"/>
        </w:rPr>
        <w:t xml:space="preserve">zing Radiation Protection </w:t>
      </w:r>
      <w:r w:rsidRPr="00214688">
        <w:rPr>
          <w:rFonts w:ascii="Times New Roman" w:eastAsia="Times New Roman" w:hAnsi="Times New Roman"/>
          <w:sz w:val="24"/>
          <w:szCs w:val="24"/>
          <w:lang w:eastAsia="de-DE"/>
        </w:rPr>
        <w:t>(</w:t>
      </w:r>
      <w:r w:rsidRPr="00214688">
        <w:rPr>
          <w:rFonts w:ascii="Times New Roman" w:hAnsi="Times New Roman"/>
          <w:sz w:val="24"/>
          <w:szCs w:val="24"/>
        </w:rPr>
        <w:t>Official Gazette of RS, No</w:t>
      </w:r>
      <w:r w:rsidRPr="00214688">
        <w:rPr>
          <w:rFonts w:ascii="Times New Roman" w:eastAsia="Times New Roman" w:hAnsi="Times New Roman"/>
          <w:sz w:val="24"/>
          <w:szCs w:val="24"/>
          <w:lang w:eastAsia="de-DE"/>
        </w:rPr>
        <w:t>. 36/09);</w:t>
      </w:r>
    </w:p>
    <w:p w:rsidR="00945024" w:rsidRPr="00214688" w:rsidRDefault="00945024" w:rsidP="00945024">
      <w:pPr>
        <w:pStyle w:val="ListParagraph"/>
        <w:numPr>
          <w:ilvl w:val="0"/>
          <w:numId w:val="1"/>
        </w:numPr>
        <w:spacing w:after="0" w:line="240" w:lineRule="auto"/>
        <w:ind w:left="993" w:hanging="284"/>
        <w:jc w:val="both"/>
        <w:rPr>
          <w:rFonts w:ascii="Times New Roman" w:eastAsia="Times New Roman" w:hAnsi="Times New Roman"/>
          <w:sz w:val="24"/>
          <w:szCs w:val="24"/>
          <w:lang w:eastAsia="de-DE"/>
        </w:rPr>
      </w:pPr>
      <w:r w:rsidRPr="00214688">
        <w:rPr>
          <w:rFonts w:ascii="Times New Roman" w:hAnsi="Times New Roman"/>
          <w:sz w:val="24"/>
          <w:szCs w:val="24"/>
        </w:rPr>
        <w:t>Law on Energy (Official Gazette of RS, No</w:t>
      </w:r>
      <w:r w:rsidRPr="00214688">
        <w:rPr>
          <w:rFonts w:ascii="Times New Roman" w:eastAsia="Times New Roman" w:hAnsi="Times New Roman"/>
          <w:sz w:val="24"/>
          <w:szCs w:val="24"/>
          <w:lang w:eastAsia="de-DE"/>
        </w:rPr>
        <w:t>. 145/14</w:t>
      </w:r>
      <w:r w:rsidR="00F52E21">
        <w:rPr>
          <w:rFonts w:ascii="Times New Roman" w:eastAsia="Times New Roman" w:hAnsi="Times New Roman"/>
          <w:sz w:val="24"/>
          <w:szCs w:val="24"/>
          <w:lang w:eastAsia="de-DE"/>
        </w:rPr>
        <w:t xml:space="preserve"> and 95/18- other law)</w:t>
      </w:r>
      <w:r w:rsidRPr="00214688">
        <w:rPr>
          <w:rFonts w:ascii="Times New Roman" w:eastAsia="Times New Roman" w:hAnsi="Times New Roman"/>
          <w:sz w:val="24"/>
          <w:szCs w:val="24"/>
          <w:lang w:eastAsia="de-DE"/>
        </w:rPr>
        <w:t>;</w:t>
      </w:r>
    </w:p>
    <w:p w:rsidR="00945024" w:rsidRPr="00214688" w:rsidRDefault="00945024" w:rsidP="00945024">
      <w:pPr>
        <w:pStyle w:val="ListParagraph"/>
        <w:numPr>
          <w:ilvl w:val="0"/>
          <w:numId w:val="1"/>
        </w:numPr>
        <w:spacing w:after="0" w:line="240" w:lineRule="auto"/>
        <w:ind w:left="993" w:hanging="284"/>
        <w:jc w:val="both"/>
        <w:rPr>
          <w:rFonts w:ascii="Times New Roman" w:eastAsia="Times New Roman" w:hAnsi="Times New Roman"/>
          <w:sz w:val="24"/>
          <w:szCs w:val="24"/>
          <w:lang w:eastAsia="de-DE"/>
        </w:rPr>
      </w:pPr>
      <w:r w:rsidRPr="00214688">
        <w:rPr>
          <w:rFonts w:ascii="Times New Roman" w:hAnsi="Times New Roman"/>
          <w:sz w:val="24"/>
          <w:szCs w:val="24"/>
        </w:rPr>
        <w:t xml:space="preserve">Law on Fire Protection </w:t>
      </w:r>
      <w:r w:rsidRPr="00214688">
        <w:rPr>
          <w:rFonts w:ascii="Times New Roman" w:eastAsia="Times New Roman" w:hAnsi="Times New Roman"/>
          <w:sz w:val="24"/>
          <w:szCs w:val="24"/>
          <w:lang w:eastAsia="de-DE"/>
        </w:rPr>
        <w:t>(</w:t>
      </w:r>
      <w:r w:rsidRPr="00214688">
        <w:rPr>
          <w:rFonts w:ascii="Times New Roman" w:hAnsi="Times New Roman"/>
          <w:sz w:val="24"/>
          <w:szCs w:val="24"/>
        </w:rPr>
        <w:t>Official Gazette of RS, Nos</w:t>
      </w:r>
      <w:r w:rsidRPr="00214688">
        <w:rPr>
          <w:rFonts w:ascii="Times New Roman" w:eastAsia="Times New Roman" w:hAnsi="Times New Roman"/>
          <w:sz w:val="24"/>
          <w:szCs w:val="24"/>
          <w:lang w:eastAsia="de-DE"/>
        </w:rPr>
        <w:t>. 111/09</w:t>
      </w:r>
      <w:r w:rsidR="00F52E21">
        <w:rPr>
          <w:rFonts w:ascii="Times New Roman" w:eastAsia="Times New Roman" w:hAnsi="Times New Roman"/>
          <w:sz w:val="24"/>
          <w:szCs w:val="24"/>
          <w:lang w:eastAsia="de-DE"/>
        </w:rPr>
        <w:t xml:space="preserve">, </w:t>
      </w:r>
      <w:r w:rsidRPr="00214688">
        <w:rPr>
          <w:rFonts w:ascii="Times New Roman" w:eastAsia="Times New Roman" w:hAnsi="Times New Roman"/>
          <w:sz w:val="24"/>
          <w:szCs w:val="24"/>
          <w:lang w:eastAsia="de-DE"/>
        </w:rPr>
        <w:t>20/15</w:t>
      </w:r>
      <w:r w:rsidR="00F52E21">
        <w:rPr>
          <w:rFonts w:ascii="Times New Roman" w:eastAsia="Times New Roman" w:hAnsi="Times New Roman"/>
          <w:sz w:val="24"/>
          <w:szCs w:val="24"/>
          <w:lang w:eastAsia="de-DE"/>
        </w:rPr>
        <w:t>, 87/18, and 87/18- other law</w:t>
      </w:r>
      <w:r w:rsidRPr="00214688">
        <w:rPr>
          <w:rFonts w:ascii="Times New Roman" w:eastAsia="Times New Roman" w:hAnsi="Times New Roman"/>
          <w:sz w:val="24"/>
          <w:szCs w:val="24"/>
          <w:lang w:eastAsia="de-DE"/>
        </w:rPr>
        <w:t>).</w:t>
      </w:r>
    </w:p>
    <w:p w:rsidR="00945024" w:rsidRPr="00214688" w:rsidRDefault="00945024" w:rsidP="00945024">
      <w:pPr>
        <w:pStyle w:val="ListParagraph"/>
        <w:numPr>
          <w:ilvl w:val="0"/>
          <w:numId w:val="1"/>
        </w:numPr>
        <w:spacing w:after="0" w:line="240" w:lineRule="auto"/>
        <w:ind w:left="993" w:hanging="284"/>
        <w:jc w:val="both"/>
        <w:rPr>
          <w:rFonts w:ascii="Times New Roman" w:eastAsia="Times New Roman" w:hAnsi="Times New Roman"/>
          <w:sz w:val="24"/>
          <w:szCs w:val="24"/>
          <w:lang w:eastAsia="de-DE"/>
        </w:rPr>
      </w:pPr>
      <w:r w:rsidRPr="00214688">
        <w:rPr>
          <w:rFonts w:ascii="Times New Roman" w:hAnsi="Times New Roman"/>
          <w:sz w:val="24"/>
          <w:szCs w:val="24"/>
        </w:rPr>
        <w:t xml:space="preserve">Law on Occupational Safety and Health </w:t>
      </w:r>
      <w:r w:rsidRPr="00214688">
        <w:rPr>
          <w:rFonts w:ascii="Times New Roman" w:eastAsia="Times New Roman" w:hAnsi="Times New Roman"/>
          <w:sz w:val="24"/>
          <w:szCs w:val="24"/>
          <w:lang w:eastAsia="de-DE"/>
        </w:rPr>
        <w:t>(</w:t>
      </w:r>
      <w:r w:rsidRPr="00214688">
        <w:rPr>
          <w:rFonts w:ascii="Times New Roman" w:hAnsi="Times New Roman"/>
          <w:sz w:val="24"/>
          <w:szCs w:val="24"/>
        </w:rPr>
        <w:t>Official Gazette of RS, Nos.</w:t>
      </w:r>
      <w:r w:rsidRPr="00214688">
        <w:rPr>
          <w:rFonts w:ascii="Times New Roman" w:eastAsia="Times New Roman" w:hAnsi="Times New Roman"/>
          <w:sz w:val="24"/>
          <w:szCs w:val="24"/>
          <w:lang w:eastAsia="de-DE"/>
        </w:rPr>
        <w:t xml:space="preserve"> 101/05</w:t>
      </w:r>
      <w:r w:rsidR="00F52E21">
        <w:rPr>
          <w:rFonts w:ascii="Times New Roman" w:eastAsia="Times New Roman" w:hAnsi="Times New Roman"/>
          <w:sz w:val="24"/>
          <w:szCs w:val="24"/>
          <w:lang w:eastAsia="de-DE"/>
        </w:rPr>
        <w:t xml:space="preserve">, </w:t>
      </w:r>
      <w:r w:rsidRPr="00214688">
        <w:rPr>
          <w:rFonts w:ascii="Times New Roman" w:eastAsia="Times New Roman" w:hAnsi="Times New Roman"/>
          <w:sz w:val="24"/>
          <w:szCs w:val="24"/>
          <w:lang w:eastAsia="de-DE"/>
        </w:rPr>
        <w:t>91/15, and 113/17</w:t>
      </w:r>
      <w:r w:rsidR="00F52E21">
        <w:rPr>
          <w:rFonts w:ascii="Times New Roman" w:eastAsia="Times New Roman" w:hAnsi="Times New Roman"/>
          <w:sz w:val="24"/>
          <w:szCs w:val="24"/>
          <w:lang w:eastAsia="de-DE"/>
        </w:rPr>
        <w:t>- other law</w:t>
      </w:r>
      <w:r w:rsidRPr="00214688">
        <w:rPr>
          <w:rFonts w:ascii="Times New Roman" w:eastAsia="Times New Roman" w:hAnsi="Times New Roman"/>
          <w:sz w:val="24"/>
          <w:szCs w:val="24"/>
          <w:lang w:eastAsia="de-DE"/>
        </w:rPr>
        <w:t>).</w:t>
      </w:r>
    </w:p>
    <w:p w:rsidR="00B32E1A" w:rsidRDefault="00B32E1A"/>
    <w:sectPr w:rsidR="00B32E1A" w:rsidSect="00B445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848F5"/>
    <w:multiLevelType w:val="hybridMultilevel"/>
    <w:tmpl w:val="33AEE260"/>
    <w:lvl w:ilvl="0" w:tplc="31B668F2">
      <w:start w:val="1"/>
      <w:numFmt w:val="bullet"/>
      <w:lvlText w:val="-"/>
      <w:lvlJc w:val="left"/>
      <w:pPr>
        <w:ind w:left="1571" w:hanging="360"/>
      </w:pPr>
      <w:rPr>
        <w:rFonts w:ascii="Calibri" w:hAnsi="Calibri"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45024"/>
    <w:rsid w:val="004E4781"/>
    <w:rsid w:val="00797540"/>
    <w:rsid w:val="00945024"/>
    <w:rsid w:val="00B2008F"/>
    <w:rsid w:val="00B32E1A"/>
    <w:rsid w:val="00B44549"/>
    <w:rsid w:val="00DC05B8"/>
    <w:rsid w:val="00F52E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024"/>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qFormat/>
    <w:rsid w:val="00945024"/>
    <w:pPr>
      <w:keepNext/>
      <w:pageBreakBefore/>
      <w:shd w:val="clear" w:color="auto" w:fill="C6D9F1"/>
      <w:spacing w:before="120" w:after="240"/>
      <w:jc w:val="center"/>
      <w:outlineLvl w:val="1"/>
    </w:pPr>
    <w:rPr>
      <w:b/>
      <w:bCs/>
      <w:i/>
      <w:iCs/>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5024"/>
    <w:rPr>
      <w:rFonts w:ascii="Times New Roman" w:eastAsia="Times New Roman" w:hAnsi="Times New Roman" w:cs="Times New Roman"/>
      <w:b/>
      <w:bCs/>
      <w:i/>
      <w:iCs/>
      <w:sz w:val="24"/>
      <w:szCs w:val="24"/>
      <w:shd w:val="clear" w:color="auto" w:fill="C6D9F1"/>
      <w:lang w:val="sr-Cyrl-CS"/>
    </w:rPr>
  </w:style>
  <w:style w:type="paragraph" w:styleId="ListParagraph">
    <w:name w:val="List Paragraph"/>
    <w:basedOn w:val="Normal"/>
    <w:link w:val="ListParagraphChar"/>
    <w:qFormat/>
    <w:rsid w:val="00945024"/>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locked/>
    <w:rsid w:val="00945024"/>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javascrip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2013</Words>
  <Characters>11480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PIMO</Company>
  <LinksUpToDate>false</LinksUpToDate>
  <CharactersWithSpaces>13467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Snežana Popović</dc:creator>
  <cp:lastModifiedBy>mirelat</cp:lastModifiedBy>
  <cp:revision>2</cp:revision>
  <dcterms:created xsi:type="dcterms:W3CDTF">2022-07-08T08:40:00Z</dcterms:created>
  <dcterms:modified xsi:type="dcterms:W3CDTF">2022-07-08T08:40:00Z</dcterms:modified>
</cp:coreProperties>
</file>